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ind w:right="2806"/>
      </w:pPr>
      <w:r>
        <w:rPr/>
        <w:drawing>
          <wp:anchor distT="0" distB="0" distL="0" distR="0" allowOverlap="1" layoutInCell="1" locked="0" behindDoc="0" simplePos="0" relativeHeight="15729152">
            <wp:simplePos x="0" y="0"/>
            <wp:positionH relativeFrom="page">
              <wp:posOffset>933934</wp:posOffset>
            </wp:positionH>
            <wp:positionV relativeFrom="paragraph">
              <wp:posOffset>6670</wp:posOffset>
            </wp:positionV>
            <wp:extent cx="635418" cy="63511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5418" cy="635118"/>
                    </a:xfrm>
                    <a:prstGeom prst="rect">
                      <a:avLst/>
                    </a:prstGeom>
                  </pic:spPr>
                </pic:pic>
              </a:graphicData>
            </a:graphic>
          </wp:anchor>
        </w:drawing>
      </w:r>
      <w:r>
        <w:rPr/>
        <w:t>T.C.</w:t>
      </w:r>
    </w:p>
    <w:p>
      <w:pPr>
        <w:spacing w:before="0"/>
        <w:ind w:left="3237" w:right="2808" w:firstLine="0"/>
        <w:jc w:val="center"/>
        <w:rPr>
          <w:sz w:val="25"/>
        </w:rPr>
      </w:pPr>
      <w:r>
        <w:rPr>
          <w:sz w:val="25"/>
        </w:rPr>
        <w:t>AKDENİZ ÜNİVERSİTESİ REKTÖRLÜĞÜ</w:t>
      </w:r>
    </w:p>
    <w:p>
      <w:pPr>
        <w:spacing w:before="1"/>
        <w:ind w:left="3237" w:right="2804" w:firstLine="0"/>
        <w:jc w:val="center"/>
        <w:rPr>
          <w:sz w:val="25"/>
        </w:rPr>
      </w:pPr>
      <w:r>
        <w:rPr>
          <w:sz w:val="25"/>
        </w:rPr>
        <w:t>Personel Daire Başkanlığı</w:t>
      </w:r>
    </w:p>
    <w:p>
      <w:pPr>
        <w:pStyle w:val="BodyText"/>
        <w:spacing w:before="2"/>
        <w:rPr>
          <w:sz w:val="28"/>
        </w:rPr>
      </w:pPr>
    </w:p>
    <w:p>
      <w:pPr>
        <w:pStyle w:val="Heading2"/>
        <w:spacing w:line="240" w:lineRule="auto"/>
      </w:pPr>
      <w:r>
        <w:rPr/>
        <w:t>SÜREKLİ İŞÇİ FAZLA MESAİ CETVELİ</w:t>
      </w:r>
    </w:p>
    <w:p>
      <w:pPr>
        <w:pStyle w:val="BodyText"/>
        <w:spacing w:before="1" w:after="1"/>
        <w:rPr>
          <w:b/>
          <w:sz w:val="22"/>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2"/>
        <w:gridCol w:w="1986"/>
        <w:gridCol w:w="1275"/>
        <w:gridCol w:w="1981"/>
        <w:gridCol w:w="1283"/>
        <w:gridCol w:w="2005"/>
      </w:tblGrid>
      <w:tr>
        <w:trPr>
          <w:trHeight w:val="321" w:hRule="atLeast"/>
        </w:trPr>
        <w:tc>
          <w:tcPr>
            <w:tcW w:w="1952" w:type="dxa"/>
          </w:tcPr>
          <w:p>
            <w:pPr>
              <w:pStyle w:val="TableParagraph"/>
              <w:spacing w:before="32"/>
              <w:ind w:left="107"/>
              <w:rPr>
                <w:b/>
                <w:sz w:val="22"/>
              </w:rPr>
            </w:pPr>
            <w:r>
              <w:rPr>
                <w:b/>
                <w:sz w:val="22"/>
              </w:rPr>
              <w:t>ADI SOYADI</w:t>
            </w:r>
          </w:p>
        </w:tc>
        <w:tc>
          <w:tcPr>
            <w:tcW w:w="5242" w:type="dxa"/>
            <w:gridSpan w:val="3"/>
          </w:tcPr>
          <w:p>
            <w:pPr>
              <w:pStyle w:val="TableParagraph"/>
              <w:rPr>
                <w:sz w:val="16"/>
              </w:rPr>
            </w:pPr>
          </w:p>
        </w:tc>
        <w:tc>
          <w:tcPr>
            <w:tcW w:w="3288" w:type="dxa"/>
            <w:gridSpan w:val="2"/>
            <w:vMerge w:val="restart"/>
          </w:tcPr>
          <w:p>
            <w:pPr>
              <w:pStyle w:val="TableParagraph"/>
              <w:spacing w:before="73"/>
              <w:ind w:left="1234" w:right="310" w:hanging="908"/>
              <w:rPr>
                <w:b/>
                <w:sz w:val="22"/>
              </w:rPr>
            </w:pPr>
            <w:r>
              <w:rPr>
                <w:b/>
                <w:sz w:val="22"/>
              </w:rPr>
              <w:t>FORMUN DÜZENLENME TARİHİ</w:t>
            </w:r>
          </w:p>
        </w:tc>
      </w:tr>
      <w:tr>
        <w:trPr>
          <w:trHeight w:val="323" w:hRule="atLeast"/>
        </w:trPr>
        <w:tc>
          <w:tcPr>
            <w:tcW w:w="1952" w:type="dxa"/>
          </w:tcPr>
          <w:p>
            <w:pPr>
              <w:pStyle w:val="TableParagraph"/>
              <w:spacing w:before="34"/>
              <w:ind w:left="107"/>
              <w:rPr>
                <w:b/>
                <w:sz w:val="22"/>
              </w:rPr>
            </w:pPr>
            <w:r>
              <w:rPr>
                <w:b/>
                <w:sz w:val="22"/>
              </w:rPr>
              <w:t>GÖREVİ</w:t>
            </w:r>
          </w:p>
        </w:tc>
        <w:tc>
          <w:tcPr>
            <w:tcW w:w="5242" w:type="dxa"/>
            <w:gridSpan w:val="3"/>
          </w:tcPr>
          <w:p>
            <w:pPr>
              <w:pStyle w:val="TableParagraph"/>
              <w:rPr>
                <w:sz w:val="16"/>
              </w:rPr>
            </w:pPr>
          </w:p>
        </w:tc>
        <w:tc>
          <w:tcPr>
            <w:tcW w:w="3288" w:type="dxa"/>
            <w:gridSpan w:val="2"/>
            <w:vMerge/>
            <w:tcBorders>
              <w:top w:val="nil"/>
            </w:tcBorders>
          </w:tcPr>
          <w:p>
            <w:pPr>
              <w:rPr>
                <w:sz w:val="2"/>
                <w:szCs w:val="2"/>
              </w:rPr>
            </w:pPr>
          </w:p>
        </w:tc>
      </w:tr>
      <w:tr>
        <w:trPr>
          <w:trHeight w:val="321" w:hRule="atLeast"/>
        </w:trPr>
        <w:tc>
          <w:tcPr>
            <w:tcW w:w="1952" w:type="dxa"/>
          </w:tcPr>
          <w:p>
            <w:pPr>
              <w:pStyle w:val="TableParagraph"/>
              <w:spacing w:before="32"/>
              <w:ind w:left="107"/>
              <w:rPr>
                <w:b/>
                <w:sz w:val="22"/>
              </w:rPr>
            </w:pPr>
            <w:r>
              <w:rPr>
                <w:b/>
                <w:sz w:val="22"/>
              </w:rPr>
              <w:t>GÖREV YERİ</w:t>
            </w:r>
          </w:p>
        </w:tc>
        <w:tc>
          <w:tcPr>
            <w:tcW w:w="5242" w:type="dxa"/>
            <w:gridSpan w:val="3"/>
          </w:tcPr>
          <w:p>
            <w:pPr>
              <w:pStyle w:val="TableParagraph"/>
              <w:rPr>
                <w:sz w:val="16"/>
              </w:rPr>
            </w:pPr>
          </w:p>
        </w:tc>
        <w:tc>
          <w:tcPr>
            <w:tcW w:w="3288" w:type="dxa"/>
            <w:gridSpan w:val="2"/>
          </w:tcPr>
          <w:p>
            <w:pPr>
              <w:pStyle w:val="TableParagraph"/>
              <w:spacing w:before="32"/>
              <w:ind w:left="832"/>
              <w:rPr>
                <w:b/>
                <w:sz w:val="22"/>
              </w:rPr>
            </w:pPr>
            <w:r>
              <w:rPr>
                <w:b/>
                <w:sz w:val="22"/>
              </w:rPr>
              <w:t>…… /…… / ……</w:t>
            </w:r>
          </w:p>
        </w:tc>
      </w:tr>
      <w:tr>
        <w:trPr>
          <w:trHeight w:val="424" w:hRule="atLeast"/>
        </w:trPr>
        <w:tc>
          <w:tcPr>
            <w:tcW w:w="10482" w:type="dxa"/>
            <w:gridSpan w:val="6"/>
          </w:tcPr>
          <w:p>
            <w:pPr>
              <w:pStyle w:val="TableParagraph"/>
              <w:spacing w:before="85"/>
              <w:ind w:left="4218" w:right="4214"/>
              <w:jc w:val="center"/>
              <w:rPr>
                <w:b/>
                <w:sz w:val="22"/>
              </w:rPr>
            </w:pPr>
            <w:r>
              <w:rPr>
                <w:b/>
                <w:sz w:val="22"/>
              </w:rPr>
              <w:t>FAZLA MESAİNİN;</w:t>
            </w:r>
          </w:p>
        </w:tc>
      </w:tr>
      <w:tr>
        <w:trPr>
          <w:trHeight w:val="402" w:hRule="atLeast"/>
        </w:trPr>
        <w:tc>
          <w:tcPr>
            <w:tcW w:w="1952" w:type="dxa"/>
          </w:tcPr>
          <w:p>
            <w:pPr>
              <w:pStyle w:val="TableParagraph"/>
              <w:spacing w:before="73"/>
              <w:ind w:left="655" w:right="647"/>
              <w:jc w:val="center"/>
              <w:rPr>
                <w:b/>
                <w:sz w:val="22"/>
              </w:rPr>
            </w:pPr>
            <w:r>
              <w:rPr>
                <w:b/>
                <w:sz w:val="22"/>
              </w:rPr>
              <w:t>Tarihi</w:t>
            </w:r>
          </w:p>
        </w:tc>
        <w:tc>
          <w:tcPr>
            <w:tcW w:w="1986" w:type="dxa"/>
          </w:tcPr>
          <w:p>
            <w:pPr>
              <w:pStyle w:val="TableParagraph"/>
              <w:spacing w:before="73"/>
              <w:ind w:left="321"/>
              <w:rPr>
                <w:b/>
                <w:sz w:val="22"/>
              </w:rPr>
            </w:pPr>
            <w:r>
              <w:rPr>
                <w:b/>
                <w:sz w:val="22"/>
              </w:rPr>
              <w:t>Başlama Saati</w:t>
            </w:r>
          </w:p>
        </w:tc>
        <w:tc>
          <w:tcPr>
            <w:tcW w:w="1275" w:type="dxa"/>
          </w:tcPr>
          <w:p>
            <w:pPr>
              <w:pStyle w:val="TableParagraph"/>
              <w:spacing w:before="73"/>
              <w:ind w:left="397"/>
              <w:rPr>
                <w:b/>
                <w:sz w:val="22"/>
              </w:rPr>
            </w:pPr>
            <w:r>
              <w:rPr>
                <w:b/>
                <w:sz w:val="22"/>
              </w:rPr>
              <w:t>İmza</w:t>
            </w:r>
          </w:p>
        </w:tc>
        <w:tc>
          <w:tcPr>
            <w:tcW w:w="1981" w:type="dxa"/>
          </w:tcPr>
          <w:p>
            <w:pPr>
              <w:pStyle w:val="TableParagraph"/>
              <w:spacing w:before="73"/>
              <w:ind w:left="363"/>
              <w:rPr>
                <w:b/>
                <w:sz w:val="22"/>
              </w:rPr>
            </w:pPr>
            <w:r>
              <w:rPr>
                <w:b/>
                <w:sz w:val="22"/>
              </w:rPr>
              <w:t>Bitirme Saati</w:t>
            </w:r>
          </w:p>
        </w:tc>
        <w:tc>
          <w:tcPr>
            <w:tcW w:w="1283" w:type="dxa"/>
          </w:tcPr>
          <w:p>
            <w:pPr>
              <w:pStyle w:val="TableParagraph"/>
              <w:spacing w:before="73"/>
              <w:ind w:left="400"/>
              <w:rPr>
                <w:b/>
                <w:sz w:val="22"/>
              </w:rPr>
            </w:pPr>
            <w:r>
              <w:rPr>
                <w:b/>
                <w:sz w:val="22"/>
              </w:rPr>
              <w:t>İmza</w:t>
            </w:r>
          </w:p>
        </w:tc>
        <w:tc>
          <w:tcPr>
            <w:tcW w:w="2005" w:type="dxa"/>
          </w:tcPr>
          <w:p>
            <w:pPr>
              <w:pStyle w:val="TableParagraph"/>
              <w:spacing w:before="73"/>
              <w:ind w:left="395"/>
              <w:rPr>
                <w:b/>
                <w:sz w:val="22"/>
              </w:rPr>
            </w:pPr>
            <w:r>
              <w:rPr>
                <w:b/>
                <w:sz w:val="22"/>
              </w:rPr>
              <w:t>Toplam Saat</w:t>
            </w: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3"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0"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r>
        <w:trPr>
          <w:trHeight w:val="402" w:hRule="atLeast"/>
        </w:trPr>
        <w:tc>
          <w:tcPr>
            <w:tcW w:w="1952" w:type="dxa"/>
          </w:tcPr>
          <w:p>
            <w:pPr>
              <w:pStyle w:val="TableParagraph"/>
              <w:rPr>
                <w:sz w:val="16"/>
              </w:rPr>
            </w:pPr>
          </w:p>
        </w:tc>
        <w:tc>
          <w:tcPr>
            <w:tcW w:w="1986" w:type="dxa"/>
          </w:tcPr>
          <w:p>
            <w:pPr>
              <w:pStyle w:val="TableParagraph"/>
              <w:rPr>
                <w:sz w:val="16"/>
              </w:rPr>
            </w:pPr>
          </w:p>
        </w:tc>
        <w:tc>
          <w:tcPr>
            <w:tcW w:w="1275" w:type="dxa"/>
          </w:tcPr>
          <w:p>
            <w:pPr>
              <w:pStyle w:val="TableParagraph"/>
              <w:rPr>
                <w:sz w:val="16"/>
              </w:rPr>
            </w:pPr>
          </w:p>
        </w:tc>
        <w:tc>
          <w:tcPr>
            <w:tcW w:w="1981" w:type="dxa"/>
          </w:tcPr>
          <w:p>
            <w:pPr>
              <w:pStyle w:val="TableParagraph"/>
              <w:rPr>
                <w:sz w:val="16"/>
              </w:rPr>
            </w:pPr>
          </w:p>
        </w:tc>
        <w:tc>
          <w:tcPr>
            <w:tcW w:w="1283" w:type="dxa"/>
          </w:tcPr>
          <w:p>
            <w:pPr>
              <w:pStyle w:val="TableParagraph"/>
              <w:rPr>
                <w:sz w:val="16"/>
              </w:rPr>
            </w:pPr>
          </w:p>
        </w:tc>
        <w:tc>
          <w:tcPr>
            <w:tcW w:w="2005" w:type="dxa"/>
          </w:tcPr>
          <w:p>
            <w:pPr>
              <w:pStyle w:val="TableParagraph"/>
              <w:rPr>
                <w:sz w:val="16"/>
              </w:rPr>
            </w:pPr>
          </w:p>
        </w:tc>
      </w:tr>
    </w:tbl>
    <w:p>
      <w:pPr>
        <w:pStyle w:val="BodyText"/>
        <w:rPr>
          <w:b/>
          <w:sz w:val="14"/>
        </w:rPr>
      </w:pPr>
    </w:p>
    <w:p>
      <w:pPr>
        <w:spacing w:line="252" w:lineRule="exact" w:before="92"/>
        <w:ind w:left="2881" w:right="2808" w:firstLine="0"/>
        <w:jc w:val="center"/>
        <w:rPr>
          <w:b/>
          <w:sz w:val="22"/>
        </w:rPr>
      </w:pPr>
      <w:r>
        <w:rPr>
          <w:b/>
          <w:sz w:val="22"/>
        </w:rPr>
        <w:t>BİRİM AMİRİ ONAYI</w:t>
      </w:r>
    </w:p>
    <w:p>
      <w:pPr>
        <w:spacing w:line="252" w:lineRule="exact" w:before="0"/>
        <w:ind w:left="2882" w:right="2808" w:firstLine="0"/>
        <w:jc w:val="center"/>
        <w:rPr>
          <w:b/>
          <w:sz w:val="22"/>
        </w:rPr>
      </w:pPr>
      <w:r>
        <w:rPr>
          <w:b/>
          <w:sz w:val="22"/>
        </w:rPr>
        <w:t>Kaşe / İmza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2"/>
        </w:rPr>
      </w:pPr>
      <w:r>
        <w:rPr/>
        <w:pict>
          <v:shape style="position:absolute;margin-left:34.560001pt;margin-top:9.275658pt;width:517.5pt;height:.1pt;mso-position-horizontal-relative:page;mso-position-vertical-relative:paragraph;z-index:-15728640;mso-wrap-distance-left:0;mso-wrap-distance-right:0" coordorigin="691,186" coordsize="10350,0" path="m691,186l11041,186e" filled="false" stroked="true" strokeweight=".72pt" strokecolor="#000000">
            <v:path arrowok="t"/>
            <v:stroke dashstyle="solid"/>
            <w10:wrap type="topAndBottom"/>
          </v:shape>
        </w:pict>
      </w:r>
    </w:p>
    <w:p>
      <w:pPr>
        <w:spacing w:before="51"/>
        <w:ind w:left="2878" w:right="2808" w:firstLine="0"/>
        <w:jc w:val="center"/>
        <w:rPr>
          <w:b/>
          <w:sz w:val="17"/>
        </w:rPr>
      </w:pPr>
      <w:r>
        <w:rPr>
          <w:b/>
          <w:sz w:val="17"/>
        </w:rPr>
        <w:t>GENEL HUSUSLAR</w:t>
      </w:r>
    </w:p>
    <w:p>
      <w:pPr>
        <w:pStyle w:val="BodyText"/>
        <w:spacing w:before="8"/>
        <w:rPr>
          <w:b/>
          <w:sz w:val="16"/>
        </w:rPr>
      </w:pPr>
    </w:p>
    <w:p>
      <w:pPr>
        <w:pStyle w:val="ListParagraph"/>
        <w:numPr>
          <w:ilvl w:val="0"/>
          <w:numId w:val="1"/>
        </w:numPr>
        <w:tabs>
          <w:tab w:pos="941" w:val="left" w:leader="none"/>
        </w:tabs>
        <w:spacing w:line="240" w:lineRule="auto" w:before="1" w:after="0"/>
        <w:ind w:left="940" w:right="145" w:hanging="361"/>
        <w:jc w:val="both"/>
        <w:rPr>
          <w:sz w:val="15"/>
        </w:rPr>
      </w:pPr>
      <w:r>
        <w:rPr>
          <w:sz w:val="15"/>
        </w:rPr>
        <w:t>01.04.2018 tarihinde yapılan ve halen yürürlükte bulunan “Belirsiz Süreli İş Sözleşmesinin” 7 inci maddesinin (f) bendi ve 4857 sayılı Kanun’un 63 üncü maddesi uyarınca Üniversitemizde “denkleştirme esası” uygulanmaktadır. Bu esasın uygulandığı hallerde, işçinin haftalık ortalama çalışma süresi, normal haftalık</w:t>
      </w:r>
      <w:r>
        <w:rPr>
          <w:spacing w:val="-4"/>
          <w:sz w:val="15"/>
        </w:rPr>
        <w:t> </w:t>
      </w:r>
      <w:r>
        <w:rPr>
          <w:sz w:val="15"/>
        </w:rPr>
        <w:t>iş</w:t>
      </w:r>
      <w:r>
        <w:rPr>
          <w:spacing w:val="-2"/>
          <w:sz w:val="15"/>
        </w:rPr>
        <w:t> </w:t>
      </w:r>
      <w:r>
        <w:rPr>
          <w:sz w:val="15"/>
        </w:rPr>
        <w:t>süresini</w:t>
      </w:r>
      <w:r>
        <w:rPr>
          <w:spacing w:val="1"/>
          <w:sz w:val="15"/>
        </w:rPr>
        <w:t> </w:t>
      </w:r>
      <w:r>
        <w:rPr>
          <w:sz w:val="15"/>
        </w:rPr>
        <w:t>aşmamak</w:t>
      </w:r>
      <w:r>
        <w:rPr>
          <w:spacing w:val="-2"/>
          <w:sz w:val="15"/>
        </w:rPr>
        <w:t> </w:t>
      </w:r>
      <w:r>
        <w:rPr>
          <w:sz w:val="15"/>
        </w:rPr>
        <w:t>koşulu</w:t>
      </w:r>
      <w:r>
        <w:rPr>
          <w:spacing w:val="-2"/>
          <w:sz w:val="15"/>
        </w:rPr>
        <w:t> </w:t>
      </w:r>
      <w:r>
        <w:rPr>
          <w:sz w:val="15"/>
        </w:rPr>
        <w:t>ile,</w:t>
      </w:r>
      <w:r>
        <w:rPr>
          <w:spacing w:val="-2"/>
          <w:sz w:val="15"/>
        </w:rPr>
        <w:t> </w:t>
      </w:r>
      <w:r>
        <w:rPr>
          <w:sz w:val="15"/>
        </w:rPr>
        <w:t>bazı</w:t>
      </w:r>
      <w:r>
        <w:rPr>
          <w:spacing w:val="-2"/>
          <w:sz w:val="15"/>
        </w:rPr>
        <w:t> </w:t>
      </w:r>
      <w:r>
        <w:rPr>
          <w:sz w:val="15"/>
        </w:rPr>
        <w:t>haftalarda</w:t>
      </w:r>
      <w:r>
        <w:rPr>
          <w:spacing w:val="-3"/>
          <w:sz w:val="15"/>
        </w:rPr>
        <w:t> </w:t>
      </w:r>
      <w:r>
        <w:rPr>
          <w:sz w:val="15"/>
        </w:rPr>
        <w:t>toplam</w:t>
      </w:r>
      <w:r>
        <w:rPr>
          <w:spacing w:val="-2"/>
          <w:sz w:val="15"/>
        </w:rPr>
        <w:t> </w:t>
      </w:r>
      <w:r>
        <w:rPr>
          <w:sz w:val="15"/>
        </w:rPr>
        <w:t>kırkbeş</w:t>
      </w:r>
      <w:r>
        <w:rPr>
          <w:spacing w:val="-2"/>
          <w:sz w:val="15"/>
        </w:rPr>
        <w:t> </w:t>
      </w:r>
      <w:r>
        <w:rPr>
          <w:sz w:val="15"/>
        </w:rPr>
        <w:t>saati</w:t>
      </w:r>
      <w:r>
        <w:rPr>
          <w:spacing w:val="-2"/>
          <w:sz w:val="15"/>
        </w:rPr>
        <w:t> </w:t>
      </w:r>
      <w:r>
        <w:rPr>
          <w:sz w:val="15"/>
        </w:rPr>
        <w:t>aşsa</w:t>
      </w:r>
      <w:r>
        <w:rPr>
          <w:spacing w:val="-2"/>
          <w:sz w:val="15"/>
        </w:rPr>
        <w:t> </w:t>
      </w:r>
      <w:r>
        <w:rPr>
          <w:sz w:val="15"/>
        </w:rPr>
        <w:t>dahi</w:t>
      </w:r>
      <w:r>
        <w:rPr>
          <w:spacing w:val="-2"/>
          <w:sz w:val="15"/>
        </w:rPr>
        <w:t> </w:t>
      </w:r>
      <w:r>
        <w:rPr>
          <w:sz w:val="15"/>
        </w:rPr>
        <w:t>bu çalışmalar</w:t>
      </w:r>
      <w:r>
        <w:rPr>
          <w:spacing w:val="-2"/>
          <w:sz w:val="15"/>
        </w:rPr>
        <w:t> </w:t>
      </w:r>
      <w:r>
        <w:rPr>
          <w:sz w:val="15"/>
        </w:rPr>
        <w:t>fazla</w:t>
      </w:r>
      <w:r>
        <w:rPr>
          <w:spacing w:val="-1"/>
          <w:sz w:val="15"/>
        </w:rPr>
        <w:t> </w:t>
      </w:r>
      <w:r>
        <w:rPr>
          <w:sz w:val="15"/>
        </w:rPr>
        <w:t>çalışma</w:t>
      </w:r>
      <w:r>
        <w:rPr>
          <w:spacing w:val="-3"/>
          <w:sz w:val="15"/>
        </w:rPr>
        <w:t> </w:t>
      </w:r>
      <w:r>
        <w:rPr>
          <w:sz w:val="15"/>
        </w:rPr>
        <w:t>sayılmaz.</w:t>
      </w:r>
      <w:r>
        <w:rPr>
          <w:spacing w:val="6"/>
          <w:sz w:val="15"/>
        </w:rPr>
        <w:t> </w:t>
      </w:r>
      <w:r>
        <w:rPr>
          <w:sz w:val="15"/>
        </w:rPr>
        <w:t>(İş</w:t>
      </w:r>
      <w:r>
        <w:rPr>
          <w:spacing w:val="-1"/>
          <w:sz w:val="15"/>
        </w:rPr>
        <w:t> </w:t>
      </w:r>
      <w:r>
        <w:rPr>
          <w:sz w:val="15"/>
        </w:rPr>
        <w:t>Kanunu</w:t>
      </w:r>
      <w:r>
        <w:rPr>
          <w:spacing w:val="-2"/>
          <w:sz w:val="15"/>
        </w:rPr>
        <w:t> </w:t>
      </w:r>
      <w:r>
        <w:rPr>
          <w:sz w:val="15"/>
        </w:rPr>
        <w:t>Madde</w:t>
      </w:r>
      <w:r>
        <w:rPr>
          <w:spacing w:val="-2"/>
          <w:sz w:val="15"/>
        </w:rPr>
        <w:t> </w:t>
      </w:r>
      <w:r>
        <w:rPr>
          <w:sz w:val="15"/>
        </w:rPr>
        <w:t>46)</w:t>
      </w:r>
    </w:p>
    <w:p>
      <w:pPr>
        <w:pStyle w:val="ListParagraph"/>
        <w:numPr>
          <w:ilvl w:val="0"/>
          <w:numId w:val="1"/>
        </w:numPr>
        <w:tabs>
          <w:tab w:pos="941" w:val="left" w:leader="none"/>
        </w:tabs>
        <w:spacing w:line="240" w:lineRule="auto" w:before="1" w:after="0"/>
        <w:ind w:left="940" w:right="144" w:hanging="361"/>
        <w:jc w:val="both"/>
        <w:rPr>
          <w:sz w:val="15"/>
        </w:rPr>
      </w:pPr>
      <w:r>
        <w:rPr>
          <w:sz w:val="15"/>
        </w:rPr>
        <w:t>Denkleştirme uygulamasının esası fazla çalışmanın, haftada bir değil de </w:t>
      </w:r>
      <w:r>
        <w:rPr>
          <w:b/>
          <w:sz w:val="15"/>
        </w:rPr>
        <w:t>iki ayı </w:t>
      </w:r>
      <w:r>
        <w:rPr>
          <w:sz w:val="15"/>
        </w:rPr>
        <w:t>geçmemek şartıyla daha uzun dönemleri esas alarak hesaplanmasına dayanır.  Bu esas kapsamında mezkur Sözleşmenin 12 inci maddesinin (b) bendi uyarınca İşçiye her bir saat fazla çalışma karşılığında “bir saat otuz dakika” serbest zaman verilir.</w:t>
      </w:r>
    </w:p>
    <w:p>
      <w:pPr>
        <w:pStyle w:val="ListParagraph"/>
        <w:numPr>
          <w:ilvl w:val="0"/>
          <w:numId w:val="1"/>
        </w:numPr>
        <w:tabs>
          <w:tab w:pos="941" w:val="left" w:leader="none"/>
        </w:tabs>
        <w:spacing w:line="237" w:lineRule="auto" w:before="2" w:after="0"/>
        <w:ind w:left="940" w:right="142" w:hanging="361"/>
        <w:jc w:val="both"/>
        <w:rPr>
          <w:sz w:val="15"/>
        </w:rPr>
      </w:pPr>
      <w:r>
        <w:rPr>
          <w:sz w:val="15"/>
        </w:rPr>
        <w:t>63 üncü madde hükmüne göre denkleştirme esasının uygulandığı hallerde, işçinin haftalık ortalama çalışma süresi, normal haftalık iş süresini aşmamak koşulu ile, bazı haftalarda toplam kırkbeş saati aşsa dahi bu çalışmalar fazla çalışma sayılmaz. (İş Kanunu Madde</w:t>
      </w:r>
      <w:r>
        <w:rPr>
          <w:spacing w:val="-21"/>
          <w:sz w:val="15"/>
        </w:rPr>
        <w:t> </w:t>
      </w:r>
      <w:r>
        <w:rPr>
          <w:sz w:val="15"/>
        </w:rPr>
        <w:t>46)</w:t>
      </w:r>
    </w:p>
    <w:p>
      <w:pPr>
        <w:pStyle w:val="ListParagraph"/>
        <w:numPr>
          <w:ilvl w:val="0"/>
          <w:numId w:val="1"/>
        </w:numPr>
        <w:tabs>
          <w:tab w:pos="941" w:val="left" w:leader="none"/>
        </w:tabs>
        <w:spacing w:line="240" w:lineRule="auto" w:before="0" w:after="0"/>
        <w:ind w:left="940" w:right="142" w:hanging="361"/>
        <w:jc w:val="both"/>
        <w:rPr>
          <w:sz w:val="15"/>
        </w:rPr>
      </w:pPr>
      <w:r>
        <w:rPr>
          <w:sz w:val="15"/>
        </w:rPr>
        <w:t>Yukarıda açıklanan hususlar nedeniyle bir işçi ay içerisinde günlük en fazla “11 saate” kadar çalıştırılabilir ve yıl içinde toplam 270 saatti aşamaz. İşçi kendisi rıza gösterse bile yılda 270 saatten daha çok fazla mesai yapamaz. Bu halde, İş Kanun’nun 63 üncü maddesi uyarınca iki aylık süre içinde işçinin haftalık ortalama çalışma süresi, normal haftalık çalışma süresini</w:t>
      </w:r>
      <w:r>
        <w:rPr>
          <w:spacing w:val="-16"/>
          <w:sz w:val="15"/>
        </w:rPr>
        <w:t> </w:t>
      </w:r>
      <w:r>
        <w:rPr>
          <w:sz w:val="15"/>
        </w:rPr>
        <w:t>aşamaz.</w:t>
      </w:r>
    </w:p>
    <w:p>
      <w:pPr>
        <w:pStyle w:val="ListParagraph"/>
        <w:numPr>
          <w:ilvl w:val="0"/>
          <w:numId w:val="1"/>
        </w:numPr>
        <w:tabs>
          <w:tab w:pos="941" w:val="left" w:leader="none"/>
        </w:tabs>
        <w:spacing w:line="240" w:lineRule="auto" w:before="1" w:after="0"/>
        <w:ind w:left="940" w:right="144" w:hanging="361"/>
        <w:jc w:val="both"/>
        <w:rPr>
          <w:sz w:val="15"/>
        </w:rPr>
      </w:pPr>
      <w:r>
        <w:rPr>
          <w:sz w:val="15"/>
        </w:rPr>
        <w:t>Ancak, Toplu İş Sözleşmesinden kaynaklı nedenlerle işçiye “resmi ve dini bayram tatillerinde ve/veya gece çalışması” nedenleri ile yapılacak mesailerde sözleşme hükümlerinde yazılı tutarlar</w:t>
      </w:r>
      <w:r>
        <w:rPr>
          <w:spacing w:val="-6"/>
          <w:sz w:val="15"/>
        </w:rPr>
        <w:t> </w:t>
      </w:r>
      <w:r>
        <w:rPr>
          <w:sz w:val="15"/>
        </w:rPr>
        <w:t>ödenir.</w:t>
      </w:r>
    </w:p>
    <w:p>
      <w:pPr>
        <w:pStyle w:val="ListParagraph"/>
        <w:numPr>
          <w:ilvl w:val="0"/>
          <w:numId w:val="1"/>
        </w:numPr>
        <w:tabs>
          <w:tab w:pos="941" w:val="left" w:leader="none"/>
        </w:tabs>
        <w:spacing w:line="171" w:lineRule="exact" w:before="1" w:after="0"/>
        <w:ind w:left="940" w:right="0" w:hanging="361"/>
        <w:jc w:val="both"/>
        <w:rPr>
          <w:sz w:val="15"/>
        </w:rPr>
      </w:pPr>
      <w:r>
        <w:rPr>
          <w:sz w:val="15"/>
        </w:rPr>
        <w:t>Ay içerisinde aralıksız/sürekli fazla çalışma yaptırılamaz. (İş Kanunu Madde</w:t>
      </w:r>
      <w:r>
        <w:rPr>
          <w:spacing w:val="-9"/>
          <w:sz w:val="15"/>
        </w:rPr>
        <w:t> </w:t>
      </w:r>
      <w:r>
        <w:rPr>
          <w:sz w:val="15"/>
        </w:rPr>
        <w:t>46)</w:t>
      </w:r>
    </w:p>
    <w:p>
      <w:pPr>
        <w:pStyle w:val="ListParagraph"/>
        <w:numPr>
          <w:ilvl w:val="0"/>
          <w:numId w:val="1"/>
        </w:numPr>
        <w:tabs>
          <w:tab w:pos="941" w:val="left" w:leader="none"/>
        </w:tabs>
        <w:spacing w:line="171" w:lineRule="exact" w:before="0" w:after="0"/>
        <w:ind w:left="940" w:right="0" w:hanging="361"/>
        <w:jc w:val="both"/>
        <w:rPr>
          <w:sz w:val="15"/>
        </w:rPr>
      </w:pPr>
      <w:r>
        <w:rPr>
          <w:sz w:val="15"/>
        </w:rPr>
        <w:t>Yasal çalışma süresinin dışında yapılacak her türlü çalışma süresi için bu formun doldurulup belgelenmesi</w:t>
      </w:r>
      <w:r>
        <w:rPr>
          <w:spacing w:val="-15"/>
          <w:sz w:val="15"/>
        </w:rPr>
        <w:t> </w:t>
      </w:r>
      <w:r>
        <w:rPr>
          <w:sz w:val="15"/>
        </w:rPr>
        <w:t>zorunludur.</w:t>
      </w:r>
    </w:p>
    <w:sectPr>
      <w:type w:val="continuous"/>
      <w:pgSz w:w="11910" w:h="16840"/>
      <w:pgMar w:top="700" w:bottom="280" w:left="5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0" w:hanging="361"/>
        <w:jc w:val="left"/>
      </w:pPr>
      <w:rPr>
        <w:rFonts w:hint="default" w:ascii="Times New Roman" w:hAnsi="Times New Roman" w:eastAsia="Times New Roman" w:cs="Times New Roman"/>
        <w:b/>
        <w:bCs/>
        <w:spacing w:val="0"/>
        <w:w w:val="100"/>
        <w:sz w:val="15"/>
        <w:szCs w:val="15"/>
        <w:lang w:val="tr-TR" w:eastAsia="en-US" w:bidi="ar-SA"/>
      </w:rPr>
    </w:lvl>
    <w:lvl w:ilvl="1">
      <w:start w:val="0"/>
      <w:numFmt w:val="bullet"/>
      <w:lvlText w:val="•"/>
      <w:lvlJc w:val="left"/>
      <w:pPr>
        <w:ind w:left="1916" w:hanging="361"/>
      </w:pPr>
      <w:rPr>
        <w:rFonts w:hint="default"/>
        <w:lang w:val="tr-TR" w:eastAsia="en-US" w:bidi="ar-SA"/>
      </w:rPr>
    </w:lvl>
    <w:lvl w:ilvl="2">
      <w:start w:val="0"/>
      <w:numFmt w:val="bullet"/>
      <w:lvlText w:val="•"/>
      <w:lvlJc w:val="left"/>
      <w:pPr>
        <w:ind w:left="2893" w:hanging="361"/>
      </w:pPr>
      <w:rPr>
        <w:rFonts w:hint="default"/>
        <w:lang w:val="tr-TR" w:eastAsia="en-US" w:bidi="ar-SA"/>
      </w:rPr>
    </w:lvl>
    <w:lvl w:ilvl="3">
      <w:start w:val="0"/>
      <w:numFmt w:val="bullet"/>
      <w:lvlText w:val="•"/>
      <w:lvlJc w:val="left"/>
      <w:pPr>
        <w:ind w:left="3869" w:hanging="361"/>
      </w:pPr>
      <w:rPr>
        <w:rFonts w:hint="default"/>
        <w:lang w:val="tr-TR" w:eastAsia="en-US" w:bidi="ar-SA"/>
      </w:rPr>
    </w:lvl>
    <w:lvl w:ilvl="4">
      <w:start w:val="0"/>
      <w:numFmt w:val="bullet"/>
      <w:lvlText w:val="•"/>
      <w:lvlJc w:val="left"/>
      <w:pPr>
        <w:ind w:left="4846" w:hanging="361"/>
      </w:pPr>
      <w:rPr>
        <w:rFonts w:hint="default"/>
        <w:lang w:val="tr-TR" w:eastAsia="en-US" w:bidi="ar-SA"/>
      </w:rPr>
    </w:lvl>
    <w:lvl w:ilvl="5">
      <w:start w:val="0"/>
      <w:numFmt w:val="bullet"/>
      <w:lvlText w:val="•"/>
      <w:lvlJc w:val="left"/>
      <w:pPr>
        <w:ind w:left="5823" w:hanging="361"/>
      </w:pPr>
      <w:rPr>
        <w:rFonts w:hint="default"/>
        <w:lang w:val="tr-TR" w:eastAsia="en-US" w:bidi="ar-SA"/>
      </w:rPr>
    </w:lvl>
    <w:lvl w:ilvl="6">
      <w:start w:val="0"/>
      <w:numFmt w:val="bullet"/>
      <w:lvlText w:val="•"/>
      <w:lvlJc w:val="left"/>
      <w:pPr>
        <w:ind w:left="6799" w:hanging="361"/>
      </w:pPr>
      <w:rPr>
        <w:rFonts w:hint="default"/>
        <w:lang w:val="tr-TR" w:eastAsia="en-US" w:bidi="ar-SA"/>
      </w:rPr>
    </w:lvl>
    <w:lvl w:ilvl="7">
      <w:start w:val="0"/>
      <w:numFmt w:val="bullet"/>
      <w:lvlText w:val="•"/>
      <w:lvlJc w:val="left"/>
      <w:pPr>
        <w:ind w:left="7776" w:hanging="361"/>
      </w:pPr>
      <w:rPr>
        <w:rFonts w:hint="default"/>
        <w:lang w:val="tr-TR" w:eastAsia="en-US" w:bidi="ar-SA"/>
      </w:rPr>
    </w:lvl>
    <w:lvl w:ilvl="8">
      <w:start w:val="0"/>
      <w:numFmt w:val="bullet"/>
      <w:lvlText w:val="•"/>
      <w:lvlJc w:val="left"/>
      <w:pPr>
        <w:ind w:left="8753" w:hanging="361"/>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15"/>
      <w:szCs w:val="15"/>
      <w:lang w:val="tr-TR" w:eastAsia="en-US" w:bidi="ar-SA"/>
    </w:rPr>
  </w:style>
  <w:style w:styleId="Heading1" w:type="paragraph">
    <w:name w:val="Heading 1"/>
    <w:basedOn w:val="Normal"/>
    <w:uiPriority w:val="1"/>
    <w:qFormat/>
    <w:pPr>
      <w:ind w:left="3237" w:right="2804"/>
      <w:jc w:val="center"/>
      <w:outlineLvl w:val="1"/>
    </w:pPr>
    <w:rPr>
      <w:rFonts w:ascii="Times New Roman" w:hAnsi="Times New Roman" w:eastAsia="Times New Roman" w:cs="Times New Roman"/>
      <w:sz w:val="25"/>
      <w:szCs w:val="25"/>
      <w:lang w:val="tr-TR" w:eastAsia="en-US" w:bidi="ar-SA"/>
    </w:rPr>
  </w:style>
  <w:style w:styleId="Heading2" w:type="paragraph">
    <w:name w:val="Heading 2"/>
    <w:basedOn w:val="Normal"/>
    <w:uiPriority w:val="1"/>
    <w:qFormat/>
    <w:pPr>
      <w:spacing w:line="252" w:lineRule="exact"/>
      <w:ind w:left="2878" w:right="2808"/>
      <w:jc w:val="center"/>
      <w:outlineLvl w:val="2"/>
    </w:pPr>
    <w:rPr>
      <w:rFonts w:ascii="Times New Roman" w:hAnsi="Times New Roman" w:eastAsia="Times New Roman" w:cs="Times New Roman"/>
      <w:b/>
      <w:bCs/>
      <w:sz w:val="22"/>
      <w:szCs w:val="22"/>
      <w:lang w:val="tr-TR" w:eastAsia="en-US" w:bidi="ar-SA"/>
    </w:rPr>
  </w:style>
  <w:style w:styleId="ListParagraph" w:type="paragraph">
    <w:name w:val="List Paragraph"/>
    <w:basedOn w:val="Normal"/>
    <w:uiPriority w:val="1"/>
    <w:qFormat/>
    <w:pPr>
      <w:spacing w:before="1"/>
      <w:ind w:left="940" w:hanging="361"/>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KELEŞ</dc:creator>
  <dcterms:created xsi:type="dcterms:W3CDTF">2022-03-01T13:54:57Z</dcterms:created>
  <dcterms:modified xsi:type="dcterms:W3CDTF">2022-03-01T13:54:57Z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2019-12-27T00:00:00Z</vt:filetime>
  </property>
  <property fmtid="{D5CDD505-2E9C-101B-9397-08002B2CF9AE}" pid="3" name="Creator">
    <vt:lpwstr>Microsoft® Word 2016</vt:lpwstr>
  </property>
  <property fmtid="{D5CDD505-2E9C-101B-9397-08002B2CF9AE}" pid="4" name="LastSaved">
    <vt:filetime>2022-03-01T00:00:00Z</vt:filetime>
  </property>
</Properties>
</file>