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58F" w:rsidRPr="0071658F" w:rsidRDefault="0071658F" w:rsidP="0071658F">
      <w:pPr>
        <w:shd w:val="clear" w:color="auto" w:fill="FBFBFB"/>
        <w:spacing w:after="100" w:afterAutospacing="1" w:line="900" w:lineRule="atLeast"/>
        <w:outlineLvl w:val="0"/>
        <w:rPr>
          <w:rFonts w:ascii="Arial" w:eastAsia="Times New Roman" w:hAnsi="Arial" w:cs="Arial"/>
          <w:b/>
          <w:bCs/>
          <w:color w:val="FF7F50"/>
          <w:kern w:val="36"/>
          <w:sz w:val="48"/>
          <w:szCs w:val="48"/>
          <w:lang w:eastAsia="tr-TR"/>
        </w:rPr>
      </w:pPr>
      <w:r w:rsidRPr="0071658F">
        <w:rPr>
          <w:rFonts w:ascii="Arial" w:eastAsia="Times New Roman" w:hAnsi="Arial" w:cs="Arial"/>
          <w:b/>
          <w:bCs/>
          <w:color w:val="FF7F50"/>
          <w:kern w:val="36"/>
          <w:sz w:val="48"/>
          <w:szCs w:val="48"/>
          <w:lang w:eastAsia="tr-TR"/>
        </w:rPr>
        <w:t> Girişimcilik ve Yenilikçilik Endeksi</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r w:rsidRPr="0071658F">
        <w:rPr>
          <w:rFonts w:ascii="Arial" w:eastAsia="Times New Roman" w:hAnsi="Arial" w:cs="Arial"/>
          <w:b/>
          <w:bCs/>
          <w:color w:val="212529"/>
          <w:sz w:val="27"/>
          <w:szCs w:val="27"/>
          <w:lang w:eastAsia="tr-TR"/>
        </w:rPr>
        <w:t>2022</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r w:rsidRPr="0071658F">
        <w:rPr>
          <w:rFonts w:ascii="Arial" w:eastAsia="Times New Roman" w:hAnsi="Arial" w:cs="Arial"/>
          <w:b/>
          <w:bCs/>
          <w:color w:val="212529"/>
          <w:sz w:val="27"/>
          <w:szCs w:val="27"/>
          <w:lang w:eastAsia="tr-TR"/>
        </w:rPr>
        <w:t>ÜNİVERSİTEMİZ TÜBİTAK’IN ÜNİVERSİTELERİN GİRİŞİMCİLİK VE YENİLİKÇİLİK PERFORMANSLARA GÖRE HAZIRLADIĞI ‘GİRİŞİMCİ VE YENİLİKÇİ ÜNİVERSİTE ENDEKSİ 2022 SIRALAMASINDA 30. SIRADA YER ALDI.</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r w:rsidRPr="0071658F">
        <w:rPr>
          <w:rFonts w:ascii="Arial" w:eastAsia="Times New Roman" w:hAnsi="Arial" w:cs="Arial"/>
          <w:color w:val="212529"/>
          <w:sz w:val="27"/>
          <w:szCs w:val="27"/>
          <w:lang w:eastAsia="tr-TR"/>
        </w:rPr>
        <w:t>Türkiye Bilimsel ve Teknolojik Araştırma Kurumu (TÜBİTAK) üniversitelerin, bilimsel ve teknolojik araştırma yetkinliği, fikri mülkiyet havuzu, iş birliği ve etkileşim, girişimcilik ve yenilikçilik kültürü ile ekonomik katkı ve ticarileşme boyutları gibi 23 göstergeye göre sıralandığı listede Akdeniz Üniversitesi’nin 30. sırada yer aldı.</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hyperlink r:id="rId4" w:history="1">
        <w:r w:rsidRPr="0071658F">
          <w:rPr>
            <w:rFonts w:ascii="Arial" w:eastAsia="Times New Roman" w:hAnsi="Arial" w:cs="Arial"/>
            <w:color w:val="007BFF"/>
            <w:sz w:val="27"/>
            <w:szCs w:val="27"/>
            <w:u w:val="single"/>
            <w:lang w:eastAsia="tr-TR"/>
          </w:rPr>
          <w:t>Sıralama listesi için tıklayınız.</w:t>
        </w:r>
      </w:hyperlink>
    </w:p>
    <w:p w:rsidR="0071658F" w:rsidRPr="0071658F" w:rsidRDefault="0071658F" w:rsidP="0071658F">
      <w:pPr>
        <w:shd w:val="clear" w:color="auto" w:fill="FBFBFB"/>
        <w:spacing w:after="0" w:line="240" w:lineRule="auto"/>
        <w:rPr>
          <w:rFonts w:ascii="Arial" w:eastAsia="Times New Roman" w:hAnsi="Arial" w:cs="Arial"/>
          <w:color w:val="212529"/>
          <w:sz w:val="27"/>
          <w:szCs w:val="27"/>
          <w:lang w:eastAsia="tr-TR"/>
        </w:rPr>
      </w:pPr>
      <w:r w:rsidRPr="0071658F">
        <w:rPr>
          <w:rFonts w:ascii="Arial" w:eastAsia="Times New Roman" w:hAnsi="Arial" w:cs="Arial"/>
          <w:color w:val="212529"/>
          <w:sz w:val="27"/>
          <w:szCs w:val="27"/>
          <w:lang w:eastAsia="tr-TR"/>
        </w:rPr>
        <w:pict>
          <v:rect id="_x0000_i1025" style="width:0;height:0" o:hralign="center" o:hrstd="t" o:hr="t" fillcolor="#a0a0a0" stroked="f"/>
        </w:pic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r w:rsidRPr="0071658F">
        <w:rPr>
          <w:rFonts w:ascii="Arial" w:eastAsia="Times New Roman" w:hAnsi="Arial" w:cs="Arial"/>
          <w:b/>
          <w:bCs/>
          <w:color w:val="212529"/>
          <w:sz w:val="27"/>
          <w:szCs w:val="27"/>
          <w:lang w:eastAsia="tr-TR"/>
        </w:rPr>
        <w:t>2021</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r w:rsidRPr="0071658F">
        <w:rPr>
          <w:rFonts w:ascii="Arial" w:eastAsia="Times New Roman" w:hAnsi="Arial" w:cs="Arial"/>
          <w:b/>
          <w:bCs/>
          <w:color w:val="212529"/>
          <w:sz w:val="27"/>
          <w:szCs w:val="27"/>
          <w:lang w:eastAsia="tr-TR"/>
        </w:rPr>
        <w:t>ÜNİVERSİTEMİZ TÜRKİYE’NİN EN GİRİŞİMCİ VE YENİLİKÇİ ÜNİVERSİTELERİ ARASINDA 27. SIRADA YERİNİ ALDI.</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r w:rsidRPr="0071658F">
        <w:rPr>
          <w:rFonts w:ascii="Arial" w:eastAsia="Times New Roman" w:hAnsi="Arial" w:cs="Arial"/>
          <w:color w:val="212529"/>
          <w:sz w:val="27"/>
          <w:szCs w:val="27"/>
          <w:lang w:eastAsia="tr-TR"/>
        </w:rPr>
        <w:t>Türkiye Bilimsel ve Teknolojik Araştırma Kurumu (TÜBİTAK) öncülüğünde oluşturulan “2020 Yılı Girişimci ve Yenilikçi Üniversite Endeksi sonuçlarına göre </w:t>
      </w:r>
      <w:r w:rsidRPr="0071658F">
        <w:rPr>
          <w:rFonts w:ascii="Arial" w:eastAsia="Times New Roman" w:hAnsi="Arial" w:cs="Arial"/>
          <w:b/>
          <w:bCs/>
          <w:color w:val="212529"/>
          <w:sz w:val="27"/>
          <w:szCs w:val="27"/>
          <w:lang w:eastAsia="tr-TR"/>
        </w:rPr>
        <w:t>Akdeniz Üniversitesi 2021 yılında 27. sırada yer aldı.</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hyperlink r:id="rId5" w:history="1">
        <w:r w:rsidRPr="0071658F">
          <w:rPr>
            <w:rFonts w:ascii="Arial" w:eastAsia="Times New Roman" w:hAnsi="Arial" w:cs="Arial"/>
            <w:color w:val="007BFF"/>
            <w:sz w:val="27"/>
            <w:szCs w:val="27"/>
            <w:u w:val="single"/>
            <w:lang w:eastAsia="tr-TR"/>
          </w:rPr>
          <w:t>Sıralama listesi için tıklayınız.</w:t>
        </w:r>
      </w:hyperlink>
    </w:p>
    <w:p w:rsidR="0071658F" w:rsidRPr="0071658F" w:rsidRDefault="0071658F" w:rsidP="0071658F">
      <w:pPr>
        <w:shd w:val="clear" w:color="auto" w:fill="FBFBFB"/>
        <w:spacing w:after="0" w:line="240" w:lineRule="auto"/>
        <w:rPr>
          <w:rFonts w:ascii="Arial" w:eastAsia="Times New Roman" w:hAnsi="Arial" w:cs="Arial"/>
          <w:color w:val="212529"/>
          <w:sz w:val="27"/>
          <w:szCs w:val="27"/>
          <w:lang w:eastAsia="tr-TR"/>
        </w:rPr>
      </w:pPr>
      <w:r w:rsidRPr="0071658F">
        <w:rPr>
          <w:rFonts w:ascii="Arial" w:eastAsia="Times New Roman" w:hAnsi="Arial" w:cs="Arial"/>
          <w:color w:val="212529"/>
          <w:sz w:val="27"/>
          <w:szCs w:val="27"/>
          <w:lang w:eastAsia="tr-TR"/>
        </w:rPr>
        <w:pict>
          <v:rect id="_x0000_i1026" style="width:0;height:0" o:hralign="center" o:hrstd="t" o:hr="t" fillcolor="#a0a0a0" stroked="f"/>
        </w:pic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r w:rsidRPr="0071658F">
        <w:rPr>
          <w:rFonts w:ascii="Arial" w:eastAsia="Times New Roman" w:hAnsi="Arial" w:cs="Arial"/>
          <w:b/>
          <w:bCs/>
          <w:color w:val="212529"/>
          <w:sz w:val="27"/>
          <w:szCs w:val="27"/>
          <w:lang w:eastAsia="tr-TR"/>
        </w:rPr>
        <w:t>2020</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r w:rsidRPr="0071658F">
        <w:rPr>
          <w:rFonts w:ascii="Arial" w:eastAsia="Times New Roman" w:hAnsi="Arial" w:cs="Arial"/>
          <w:b/>
          <w:bCs/>
          <w:color w:val="212529"/>
          <w:sz w:val="27"/>
          <w:szCs w:val="27"/>
          <w:lang w:eastAsia="tr-TR"/>
        </w:rPr>
        <w:t>TÜBİTAK ÖNCÜLÜĞÜNDE OLUŞTURULAN “2020 YILI GİRİŞİMCİ VE YENİLİKÇİ ÜNİVERSİTE ENDEKSİ” SONUÇLARINA GÖRE ÜNİVERSİTEMİZ 23. SIRADA YER ALDI.</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r w:rsidRPr="0071658F">
        <w:rPr>
          <w:rFonts w:ascii="Arial" w:eastAsia="Times New Roman" w:hAnsi="Arial" w:cs="Arial"/>
          <w:color w:val="212529"/>
          <w:sz w:val="27"/>
          <w:szCs w:val="27"/>
          <w:lang w:eastAsia="tr-TR"/>
        </w:rPr>
        <w:t>Türkiye Bilimsel ve Teknolojik Araştırma Kurumu (TÜBİTAK) öncülüğünde oluşturulan “2020 Yılı Girişimci ve Yenilikçi Üniversite Endeksi” sonuçları açıklandı. Geçen yıl 26. sırada yer alan </w:t>
      </w:r>
      <w:r w:rsidRPr="0071658F">
        <w:rPr>
          <w:rFonts w:ascii="Arial" w:eastAsia="Times New Roman" w:hAnsi="Arial" w:cs="Arial"/>
          <w:b/>
          <w:bCs/>
          <w:color w:val="212529"/>
          <w:sz w:val="27"/>
          <w:szCs w:val="27"/>
          <w:lang w:eastAsia="tr-TR"/>
        </w:rPr>
        <w:t>Akdeniz Üniversitesi 23. Sırada yer aldı.</w:t>
      </w:r>
    </w:p>
    <w:p w:rsidR="0071658F" w:rsidRPr="0071658F" w:rsidRDefault="0071658F" w:rsidP="0071658F">
      <w:pPr>
        <w:shd w:val="clear" w:color="auto" w:fill="FBFBFB"/>
        <w:spacing w:after="100" w:afterAutospacing="1" w:line="240" w:lineRule="auto"/>
        <w:rPr>
          <w:rFonts w:ascii="Arial" w:eastAsia="Times New Roman" w:hAnsi="Arial" w:cs="Arial"/>
          <w:color w:val="212529"/>
          <w:sz w:val="27"/>
          <w:szCs w:val="27"/>
          <w:lang w:eastAsia="tr-TR"/>
        </w:rPr>
      </w:pPr>
      <w:hyperlink r:id="rId6" w:history="1">
        <w:r w:rsidRPr="0071658F">
          <w:rPr>
            <w:rFonts w:ascii="Arial" w:eastAsia="Times New Roman" w:hAnsi="Arial" w:cs="Arial"/>
            <w:color w:val="007BFF"/>
            <w:sz w:val="27"/>
            <w:szCs w:val="27"/>
            <w:u w:val="single"/>
            <w:lang w:eastAsia="tr-TR"/>
          </w:rPr>
          <w:t>Sıralama listesi için tıklayınız.</w:t>
        </w:r>
      </w:hyperlink>
    </w:p>
    <w:p w:rsidR="002127D0" w:rsidRDefault="002127D0">
      <w:bookmarkStart w:id="0" w:name="_GoBack"/>
      <w:bookmarkEnd w:id="0"/>
    </w:p>
    <w:sectPr w:rsidR="002127D0" w:rsidSect="00212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8F"/>
    <w:rsid w:val="002127D0"/>
    <w:rsid w:val="0071658F"/>
    <w:rsid w:val="00EA4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DD6C0-B845-4B56-A06B-CA7AB286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7D0"/>
  </w:style>
  <w:style w:type="paragraph" w:styleId="Balk1">
    <w:name w:val="heading 1"/>
    <w:basedOn w:val="Normal"/>
    <w:link w:val="Balk1Char"/>
    <w:uiPriority w:val="9"/>
    <w:qFormat/>
    <w:rsid w:val="007165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658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7165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1658F"/>
    <w:rPr>
      <w:b/>
      <w:bCs/>
    </w:rPr>
  </w:style>
  <w:style w:type="character" w:styleId="Kpr">
    <w:name w:val="Hyperlink"/>
    <w:basedOn w:val="VarsaylanParagrafYazTipi"/>
    <w:uiPriority w:val="99"/>
    <w:semiHidden/>
    <w:unhideWhenUsed/>
    <w:rsid w:val="007165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bitak.gov.tr/sites/default/files/18842/2020-gyue-2020-print.pdf" TargetMode="External"/><Relationship Id="rId5" Type="http://schemas.openxmlformats.org/officeDocument/2006/relationships/hyperlink" Target="https://tubitak.gov.tr/sites/default/files/gyue2021.pdf" TargetMode="External"/><Relationship Id="rId4" Type="http://schemas.openxmlformats.org/officeDocument/2006/relationships/hyperlink" Target="https://www.tubitak.gov.tr/sites/default/files/gostergebazliveri_tablo.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MAVİ</dc:creator>
  <cp:keywords/>
  <dc:description/>
  <cp:lastModifiedBy>Metin MAVİ</cp:lastModifiedBy>
  <cp:revision>1</cp:revision>
  <dcterms:created xsi:type="dcterms:W3CDTF">2023-09-22T07:48:00Z</dcterms:created>
  <dcterms:modified xsi:type="dcterms:W3CDTF">2023-09-22T07:48:00Z</dcterms:modified>
</cp:coreProperties>
</file>