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6C" w:rsidRPr="003D44E1" w:rsidRDefault="00883E6C" w:rsidP="00883E6C">
      <w:pPr>
        <w:pStyle w:val="stbilgi"/>
        <w:jc w:val="center"/>
        <w:rPr>
          <w:rFonts w:asciiTheme="majorHAnsi" w:hAnsiTheme="majorHAnsi"/>
          <w:b/>
          <w:sz w:val="32"/>
        </w:rPr>
      </w:pPr>
    </w:p>
    <w:p w:rsidR="00DC410D" w:rsidRPr="003D44E1" w:rsidRDefault="00883E6C" w:rsidP="00883E6C">
      <w:pPr>
        <w:pStyle w:val="stbilgi"/>
        <w:jc w:val="center"/>
        <w:rPr>
          <w:rFonts w:asciiTheme="majorHAnsi" w:hAnsiTheme="majorHAnsi"/>
          <w:b/>
          <w:spacing w:val="30"/>
          <w:sz w:val="32"/>
        </w:rPr>
      </w:pPr>
      <w:r w:rsidRPr="00BF206E">
        <w:rPr>
          <w:rFonts w:asciiTheme="majorHAnsi" w:hAnsiTheme="majorHAnsi"/>
          <w:b/>
          <w:spacing w:val="30"/>
          <w:sz w:val="28"/>
        </w:rPr>
        <w:t>AKDENİZ ÜNİVERSİTESİ</w:t>
      </w:r>
    </w:p>
    <w:p w:rsidR="00883E6C" w:rsidRPr="00BF206E" w:rsidRDefault="00883E6C" w:rsidP="00DC410D">
      <w:pPr>
        <w:pStyle w:val="stbilgi"/>
        <w:spacing w:before="120"/>
        <w:jc w:val="center"/>
        <w:rPr>
          <w:rFonts w:asciiTheme="majorHAnsi" w:hAnsiTheme="majorHAnsi"/>
          <w:b/>
          <w:sz w:val="24"/>
        </w:rPr>
      </w:pPr>
      <w:r w:rsidRPr="00BF206E">
        <w:rPr>
          <w:rFonts w:asciiTheme="majorHAnsi" w:hAnsiTheme="majorHAnsi"/>
          <w:b/>
          <w:sz w:val="24"/>
        </w:rPr>
        <w:t xml:space="preserve">PAZARLAMA </w:t>
      </w:r>
      <w:r w:rsidR="003D44E1" w:rsidRPr="00BF206E">
        <w:rPr>
          <w:rFonts w:asciiTheme="majorHAnsi" w:hAnsiTheme="majorHAnsi"/>
          <w:b/>
          <w:sz w:val="24"/>
        </w:rPr>
        <w:t>ANABİLİM DALI</w:t>
      </w:r>
    </w:p>
    <w:p w:rsidR="00DC410D" w:rsidRPr="00BF206E" w:rsidRDefault="00883E6C" w:rsidP="00DC410D">
      <w:pPr>
        <w:pStyle w:val="NormalWeb"/>
        <w:jc w:val="center"/>
        <w:rPr>
          <w:rStyle w:val="Gl"/>
          <w:rFonts w:asciiTheme="majorHAnsi" w:hAnsiTheme="majorHAnsi" w:cs="Helvetica"/>
          <w:b w:val="0"/>
          <w:color w:val="333333"/>
          <w:sz w:val="21"/>
          <w:szCs w:val="21"/>
        </w:rPr>
      </w:pPr>
      <w:r w:rsidRPr="00BF206E">
        <w:rPr>
          <w:rFonts w:asciiTheme="majorHAnsi" w:hAnsiTheme="majorHAnsi"/>
          <w:b/>
        </w:rPr>
        <w:t>YÜKSEK</w:t>
      </w:r>
      <w:r w:rsidR="003D44E1" w:rsidRPr="00BF206E">
        <w:rPr>
          <w:rFonts w:asciiTheme="majorHAnsi" w:hAnsiTheme="majorHAnsi"/>
          <w:b/>
        </w:rPr>
        <w:t xml:space="preserve"> LİSANS PROGRAMI</w:t>
      </w:r>
      <w:r w:rsidRPr="00BF206E">
        <w:rPr>
          <w:rFonts w:asciiTheme="majorHAnsi" w:hAnsiTheme="majorHAnsi"/>
          <w:b/>
        </w:rPr>
        <w:t xml:space="preserve"> İLKE KARARLARI</w:t>
      </w:r>
    </w:p>
    <w:p w:rsidR="00353CBF" w:rsidRPr="003D44E1" w:rsidRDefault="002A4BAD" w:rsidP="00DC410D">
      <w:pPr>
        <w:pStyle w:val="NormalWeb"/>
        <w:spacing w:before="600"/>
        <w:jc w:val="both"/>
        <w:rPr>
          <w:rFonts w:asciiTheme="majorHAnsi" w:hAnsiTheme="majorHAnsi" w:cs="Helvetica"/>
          <w:color w:val="333333"/>
          <w:sz w:val="21"/>
          <w:szCs w:val="21"/>
        </w:rPr>
      </w:pPr>
      <w:r w:rsidRPr="003D44E1">
        <w:rPr>
          <w:rStyle w:val="Gl"/>
          <w:rFonts w:asciiTheme="majorHAnsi" w:hAnsiTheme="majorHAnsi" w:cs="Helvetica"/>
          <w:color w:val="333333"/>
          <w:sz w:val="21"/>
          <w:szCs w:val="21"/>
        </w:rPr>
        <w:t>Danışman Ataması</w:t>
      </w:r>
    </w:p>
    <w:p w:rsidR="002A4BAD" w:rsidRPr="003D44E1" w:rsidRDefault="003D44E1" w:rsidP="002A4BAD">
      <w:pPr>
        <w:pStyle w:val="NormalWeb"/>
        <w:numPr>
          <w:ilvl w:val="0"/>
          <w:numId w:val="3"/>
        </w:numPr>
        <w:jc w:val="both"/>
        <w:rPr>
          <w:rFonts w:asciiTheme="majorHAnsi" w:hAnsiTheme="majorHAnsi" w:cs="Helvetica"/>
          <w:color w:val="333333"/>
          <w:sz w:val="21"/>
          <w:szCs w:val="21"/>
        </w:rPr>
      </w:pPr>
      <w:r>
        <w:rPr>
          <w:rFonts w:asciiTheme="majorHAnsi" w:hAnsiTheme="majorHAnsi" w:cs="Helvetica"/>
          <w:color w:val="333333"/>
          <w:sz w:val="21"/>
          <w:szCs w:val="21"/>
        </w:rPr>
        <w:t>Yüksek lisans öğrencilerinin danışman ataması öğretim üyeleri arasından yapılır.</w:t>
      </w:r>
    </w:p>
    <w:p w:rsidR="002A4BAD" w:rsidRPr="003D44E1" w:rsidRDefault="002A4BAD" w:rsidP="00A62C19">
      <w:pPr>
        <w:pStyle w:val="NormalWeb"/>
        <w:spacing w:before="240"/>
        <w:jc w:val="both"/>
        <w:rPr>
          <w:rFonts w:asciiTheme="majorHAnsi" w:hAnsiTheme="majorHAnsi" w:cs="Helvetica"/>
          <w:b/>
          <w:color w:val="333333"/>
          <w:sz w:val="21"/>
          <w:szCs w:val="21"/>
        </w:rPr>
      </w:pPr>
      <w:r w:rsidRPr="003D44E1">
        <w:rPr>
          <w:rFonts w:asciiTheme="majorHAnsi" w:hAnsiTheme="majorHAnsi" w:cs="Helvetica"/>
          <w:b/>
          <w:color w:val="333333"/>
          <w:sz w:val="21"/>
          <w:szCs w:val="21"/>
        </w:rPr>
        <w:t xml:space="preserve">Tez </w:t>
      </w:r>
      <w:r w:rsidR="003D44E1">
        <w:rPr>
          <w:rFonts w:asciiTheme="majorHAnsi" w:hAnsiTheme="majorHAnsi" w:cs="Helvetica"/>
          <w:b/>
          <w:color w:val="333333"/>
          <w:sz w:val="21"/>
          <w:szCs w:val="21"/>
        </w:rPr>
        <w:t>Önerisi Hazırlama Süreci</w:t>
      </w:r>
    </w:p>
    <w:p w:rsidR="002A4BAD" w:rsidRPr="003D44E1" w:rsidRDefault="002A4BAD" w:rsidP="002A4BAD">
      <w:pPr>
        <w:pStyle w:val="NormalWeb"/>
        <w:numPr>
          <w:ilvl w:val="0"/>
          <w:numId w:val="3"/>
        </w:numPr>
        <w:jc w:val="both"/>
        <w:rPr>
          <w:rFonts w:asciiTheme="majorHAnsi" w:hAnsiTheme="majorHAnsi" w:cs="Helvetica"/>
          <w:color w:val="333333"/>
          <w:sz w:val="21"/>
          <w:szCs w:val="21"/>
        </w:rPr>
      </w:pPr>
      <w:r w:rsidRPr="003D44E1">
        <w:rPr>
          <w:rFonts w:asciiTheme="majorHAnsi" w:hAnsiTheme="majorHAnsi" w:cs="Helvetica"/>
          <w:color w:val="333333"/>
          <w:sz w:val="21"/>
          <w:szCs w:val="21"/>
        </w:rPr>
        <w:t xml:space="preserve">Yüksek lisans öğrencisi </w:t>
      </w:r>
      <w:r w:rsidR="00A62C19" w:rsidRPr="003D44E1">
        <w:rPr>
          <w:rFonts w:asciiTheme="majorHAnsi" w:hAnsiTheme="majorHAnsi" w:cs="Helvetica"/>
          <w:color w:val="333333"/>
          <w:sz w:val="21"/>
          <w:szCs w:val="21"/>
        </w:rPr>
        <w:t xml:space="preserve">danışmanı ile belirleyeceği </w:t>
      </w:r>
      <w:r w:rsidRPr="003D44E1">
        <w:rPr>
          <w:rFonts w:asciiTheme="majorHAnsi" w:hAnsiTheme="majorHAnsi" w:cs="Helvetica"/>
          <w:color w:val="333333"/>
          <w:sz w:val="21"/>
          <w:szCs w:val="21"/>
        </w:rPr>
        <w:t xml:space="preserve">tez </w:t>
      </w:r>
      <w:r w:rsidR="00A62C19" w:rsidRPr="003D44E1">
        <w:rPr>
          <w:rFonts w:asciiTheme="majorHAnsi" w:hAnsiTheme="majorHAnsi" w:cs="Helvetica"/>
          <w:color w:val="333333"/>
          <w:sz w:val="21"/>
          <w:szCs w:val="21"/>
        </w:rPr>
        <w:t>önerisini ve içeriğini tez çalışmasına başlamadan önce bölüm öğretim elamanlarına sunar.</w:t>
      </w:r>
      <w:r w:rsidRPr="003D44E1">
        <w:rPr>
          <w:rFonts w:asciiTheme="majorHAnsi" w:hAnsiTheme="majorHAnsi" w:cs="Helvetica"/>
          <w:color w:val="333333"/>
          <w:sz w:val="21"/>
          <w:szCs w:val="21"/>
        </w:rPr>
        <w:t xml:space="preserve"> </w:t>
      </w:r>
    </w:p>
    <w:p w:rsidR="00AD7842" w:rsidRPr="003D44E1" w:rsidRDefault="002A4BAD" w:rsidP="00A62C19">
      <w:pPr>
        <w:pStyle w:val="NormalWeb"/>
        <w:spacing w:before="240"/>
        <w:jc w:val="both"/>
        <w:rPr>
          <w:rFonts w:asciiTheme="majorHAnsi" w:hAnsiTheme="majorHAnsi" w:cs="Helvetica"/>
          <w:b/>
          <w:color w:val="333333"/>
          <w:sz w:val="21"/>
          <w:szCs w:val="21"/>
        </w:rPr>
      </w:pPr>
      <w:r w:rsidRPr="003D44E1">
        <w:rPr>
          <w:rFonts w:asciiTheme="majorHAnsi" w:hAnsiTheme="majorHAnsi" w:cs="Helvetica"/>
          <w:b/>
          <w:color w:val="333333"/>
          <w:sz w:val="21"/>
          <w:szCs w:val="21"/>
        </w:rPr>
        <w:t xml:space="preserve">Yüksek Lisans </w:t>
      </w:r>
      <w:r w:rsidR="003D44E1">
        <w:rPr>
          <w:rFonts w:asciiTheme="majorHAnsi" w:hAnsiTheme="majorHAnsi" w:cs="Helvetica"/>
          <w:b/>
          <w:color w:val="333333"/>
          <w:sz w:val="21"/>
          <w:szCs w:val="21"/>
        </w:rPr>
        <w:t xml:space="preserve">Tez </w:t>
      </w:r>
      <w:r w:rsidRPr="003D44E1">
        <w:rPr>
          <w:rFonts w:asciiTheme="majorHAnsi" w:hAnsiTheme="majorHAnsi" w:cs="Helvetica"/>
          <w:b/>
          <w:color w:val="333333"/>
          <w:sz w:val="21"/>
          <w:szCs w:val="21"/>
        </w:rPr>
        <w:t>Savunması</w:t>
      </w:r>
    </w:p>
    <w:p w:rsidR="00CA04F0" w:rsidRPr="003D44E1" w:rsidRDefault="00CA04F0" w:rsidP="00353CBF">
      <w:pPr>
        <w:pStyle w:val="NormalWeb"/>
        <w:numPr>
          <w:ilvl w:val="0"/>
          <w:numId w:val="2"/>
        </w:numPr>
        <w:jc w:val="both"/>
        <w:rPr>
          <w:rFonts w:asciiTheme="majorHAnsi" w:hAnsiTheme="majorHAnsi" w:cs="Helvetica"/>
          <w:color w:val="333333"/>
          <w:sz w:val="21"/>
          <w:szCs w:val="21"/>
        </w:rPr>
      </w:pPr>
      <w:r w:rsidRPr="003D44E1">
        <w:rPr>
          <w:rFonts w:asciiTheme="majorHAnsi" w:hAnsiTheme="majorHAnsi" w:cs="Helvetica"/>
          <w:color w:val="333333"/>
          <w:sz w:val="21"/>
          <w:szCs w:val="21"/>
        </w:rPr>
        <w:t>Tez savunma toplantıları, dinleyicilerin katılımına aç</w:t>
      </w:r>
      <w:r w:rsidR="003D44E1">
        <w:rPr>
          <w:rFonts w:asciiTheme="majorHAnsi" w:hAnsiTheme="majorHAnsi" w:cs="Helvetica"/>
          <w:color w:val="333333"/>
          <w:sz w:val="21"/>
          <w:szCs w:val="21"/>
        </w:rPr>
        <w:t>ık olarak yapılır. Dinleyiciler;</w:t>
      </w:r>
      <w:r w:rsidRPr="003D44E1">
        <w:rPr>
          <w:rFonts w:asciiTheme="majorHAnsi" w:hAnsiTheme="majorHAnsi" w:cs="Helvetica"/>
          <w:color w:val="333333"/>
          <w:sz w:val="21"/>
          <w:szCs w:val="21"/>
        </w:rPr>
        <w:t xml:space="preserve"> öğretim elemanları, lisansüstü öğrenciler ve alanın uzmanlarından oluşur.</w:t>
      </w:r>
    </w:p>
    <w:p w:rsidR="00CA04F0" w:rsidRPr="003D44E1" w:rsidRDefault="00CA04F0" w:rsidP="00353CBF">
      <w:pPr>
        <w:pStyle w:val="NormalWeb"/>
        <w:numPr>
          <w:ilvl w:val="0"/>
          <w:numId w:val="1"/>
        </w:numPr>
        <w:jc w:val="both"/>
        <w:rPr>
          <w:rStyle w:val="Vurgu"/>
          <w:rFonts w:asciiTheme="majorHAnsi" w:hAnsiTheme="majorHAnsi" w:cs="Helvetica"/>
          <w:i w:val="0"/>
          <w:iCs w:val="0"/>
          <w:color w:val="333333"/>
          <w:sz w:val="21"/>
          <w:szCs w:val="21"/>
        </w:rPr>
      </w:pPr>
      <w:r w:rsidRPr="003D44E1">
        <w:rPr>
          <w:rFonts w:asciiTheme="majorHAnsi" w:hAnsiTheme="majorHAnsi" w:cs="Helvetica"/>
          <w:color w:val="333333"/>
          <w:sz w:val="21"/>
          <w:szCs w:val="21"/>
        </w:rPr>
        <w:t>Tez savunmasından önce öğrenci tarafından intihal programı raporu</w:t>
      </w:r>
      <w:r w:rsidR="00FE31A9" w:rsidRPr="003D44E1">
        <w:rPr>
          <w:rFonts w:asciiTheme="majorHAnsi" w:hAnsiTheme="majorHAnsi" w:cs="Helvetica"/>
          <w:color w:val="333333"/>
          <w:sz w:val="21"/>
          <w:szCs w:val="21"/>
        </w:rPr>
        <w:t>nun teslim edilmes</w:t>
      </w:r>
      <w:r w:rsidRPr="003D44E1">
        <w:rPr>
          <w:rFonts w:asciiTheme="majorHAnsi" w:hAnsiTheme="majorHAnsi" w:cs="Helvetica"/>
          <w:color w:val="333333"/>
          <w:sz w:val="21"/>
          <w:szCs w:val="21"/>
        </w:rPr>
        <w:t>i </w:t>
      </w:r>
      <w:r w:rsidR="00DC410D" w:rsidRPr="003D44E1">
        <w:rPr>
          <w:rFonts w:asciiTheme="majorHAnsi" w:hAnsiTheme="majorHAnsi" w:cs="Helvetica"/>
          <w:color w:val="333333"/>
          <w:sz w:val="21"/>
          <w:szCs w:val="21"/>
        </w:rPr>
        <w:t>gereklidir.</w:t>
      </w:r>
    </w:p>
    <w:p w:rsidR="00353CBF" w:rsidRPr="003D44E1" w:rsidRDefault="003D44E1" w:rsidP="00A62C19">
      <w:pPr>
        <w:pStyle w:val="NormalWeb"/>
        <w:spacing w:before="240"/>
        <w:jc w:val="both"/>
        <w:rPr>
          <w:rStyle w:val="Vurgu"/>
          <w:rFonts w:asciiTheme="majorHAnsi" w:hAnsiTheme="majorHAnsi" w:cs="Helvetica"/>
          <w:b/>
          <w:bCs/>
          <w:i w:val="0"/>
          <w:color w:val="333333"/>
          <w:sz w:val="21"/>
          <w:szCs w:val="21"/>
        </w:rPr>
      </w:pPr>
      <w:r>
        <w:rPr>
          <w:rStyle w:val="Vurgu"/>
          <w:rFonts w:asciiTheme="majorHAnsi" w:hAnsiTheme="majorHAnsi" w:cs="Helvetica"/>
          <w:b/>
          <w:bCs/>
          <w:i w:val="0"/>
          <w:color w:val="333333"/>
          <w:sz w:val="21"/>
          <w:szCs w:val="21"/>
        </w:rPr>
        <w:t>Tez Savunma Sınavı i</w:t>
      </w:r>
      <w:r w:rsidR="00A62C19" w:rsidRPr="003D44E1">
        <w:rPr>
          <w:rStyle w:val="Vurgu"/>
          <w:rFonts w:asciiTheme="majorHAnsi" w:hAnsiTheme="majorHAnsi" w:cs="Helvetica"/>
          <w:b/>
          <w:bCs/>
          <w:i w:val="0"/>
          <w:color w:val="333333"/>
          <w:sz w:val="21"/>
          <w:szCs w:val="21"/>
        </w:rPr>
        <w:t xml:space="preserve">çin Yayın Kriteri </w:t>
      </w:r>
      <w:r w:rsidR="00DD1115" w:rsidRPr="003D44E1">
        <w:rPr>
          <w:rStyle w:val="Vurgu"/>
          <w:rFonts w:asciiTheme="majorHAnsi" w:hAnsiTheme="majorHAnsi" w:cs="Helvetica"/>
          <w:b/>
          <w:bCs/>
          <w:i w:val="0"/>
          <w:color w:val="333333"/>
          <w:sz w:val="21"/>
          <w:szCs w:val="21"/>
        </w:rPr>
        <w:t xml:space="preserve"> </w:t>
      </w:r>
    </w:p>
    <w:p w:rsidR="009A7EBA" w:rsidRPr="003D44E1" w:rsidRDefault="00CA04F0" w:rsidP="00A62C19">
      <w:pPr>
        <w:pStyle w:val="NormalWeb"/>
        <w:numPr>
          <w:ilvl w:val="0"/>
          <w:numId w:val="1"/>
        </w:numPr>
        <w:jc w:val="both"/>
        <w:rPr>
          <w:rFonts w:asciiTheme="majorHAnsi" w:hAnsiTheme="majorHAnsi" w:cs="Helvetica"/>
          <w:color w:val="333333"/>
          <w:sz w:val="21"/>
          <w:szCs w:val="21"/>
        </w:rPr>
      </w:pPr>
      <w:r w:rsidRPr="003D44E1">
        <w:rPr>
          <w:rFonts w:asciiTheme="majorHAnsi" w:hAnsiTheme="majorHAnsi" w:cs="Helvetica"/>
          <w:color w:val="333333"/>
          <w:sz w:val="21"/>
          <w:szCs w:val="21"/>
        </w:rPr>
        <w:t>Tezli y</w:t>
      </w:r>
      <w:r w:rsidR="00353CBF" w:rsidRPr="003D44E1">
        <w:rPr>
          <w:rFonts w:asciiTheme="majorHAnsi" w:hAnsiTheme="majorHAnsi" w:cs="Helvetica"/>
          <w:color w:val="333333"/>
          <w:sz w:val="21"/>
          <w:szCs w:val="21"/>
        </w:rPr>
        <w:t xml:space="preserve">üksek lisans öğrencilerinin tez savunma sınavına girebilmeleri için, </w:t>
      </w:r>
      <w:r w:rsidRPr="003D44E1">
        <w:rPr>
          <w:rFonts w:asciiTheme="majorHAnsi" w:hAnsiTheme="majorHAnsi" w:cs="Helvetica"/>
          <w:color w:val="333333"/>
          <w:sz w:val="21"/>
          <w:szCs w:val="21"/>
        </w:rPr>
        <w:t>tez çalışmasından en az 1</w:t>
      </w:r>
      <w:r w:rsidR="003D44E1">
        <w:rPr>
          <w:rFonts w:asciiTheme="majorHAnsi" w:hAnsiTheme="majorHAnsi" w:cs="Helvetica"/>
          <w:color w:val="333333"/>
          <w:sz w:val="21"/>
          <w:szCs w:val="21"/>
        </w:rPr>
        <w:t xml:space="preserve"> (bir)</w:t>
      </w:r>
      <w:r w:rsidRPr="003D44E1">
        <w:rPr>
          <w:rFonts w:asciiTheme="majorHAnsi" w:hAnsiTheme="majorHAnsi" w:cs="Helvetica"/>
          <w:color w:val="333333"/>
          <w:sz w:val="21"/>
          <w:szCs w:val="21"/>
        </w:rPr>
        <w:t xml:space="preserve"> adet olmak üzere </w:t>
      </w:r>
      <w:r w:rsidR="003D44E1">
        <w:rPr>
          <w:rFonts w:asciiTheme="majorHAnsi" w:hAnsiTheme="majorHAnsi" w:cs="Helvetica"/>
          <w:color w:val="333333"/>
          <w:sz w:val="21"/>
          <w:szCs w:val="21"/>
        </w:rPr>
        <w:t>ulusal veya uluslararası bir kongrey</w:t>
      </w:r>
      <w:r w:rsidR="00373E4C" w:rsidRPr="003D44E1">
        <w:rPr>
          <w:rFonts w:asciiTheme="majorHAnsi" w:hAnsiTheme="majorHAnsi" w:cs="Helvetica"/>
          <w:color w:val="333333"/>
          <w:sz w:val="21"/>
          <w:szCs w:val="21"/>
        </w:rPr>
        <w:t xml:space="preserve">e </w:t>
      </w:r>
      <w:r w:rsidR="003D44E1">
        <w:rPr>
          <w:rFonts w:asciiTheme="majorHAnsi" w:hAnsiTheme="majorHAnsi" w:cs="Helvetica"/>
          <w:color w:val="333333"/>
          <w:sz w:val="21"/>
          <w:szCs w:val="21"/>
        </w:rPr>
        <w:t>tebliğ ile katılmış olma</w:t>
      </w:r>
      <w:r w:rsidR="00373E4C" w:rsidRPr="003D44E1">
        <w:rPr>
          <w:rFonts w:asciiTheme="majorHAnsi" w:hAnsiTheme="majorHAnsi" w:cs="Helvetica"/>
          <w:color w:val="333333"/>
          <w:sz w:val="21"/>
          <w:szCs w:val="21"/>
        </w:rPr>
        <w:t xml:space="preserve"> şartı aranır. </w:t>
      </w:r>
      <w:r w:rsidR="003D44E1">
        <w:rPr>
          <w:rFonts w:asciiTheme="majorHAnsi" w:hAnsiTheme="majorHAnsi" w:cs="Helvetica"/>
          <w:color w:val="333333"/>
          <w:sz w:val="21"/>
          <w:szCs w:val="21"/>
        </w:rPr>
        <w:t>Tebliğ henüz</w:t>
      </w:r>
      <w:r w:rsidR="00373E4C" w:rsidRPr="003D44E1">
        <w:rPr>
          <w:rFonts w:asciiTheme="majorHAnsi" w:hAnsiTheme="majorHAnsi" w:cs="Helvetica"/>
          <w:color w:val="333333"/>
          <w:sz w:val="21"/>
          <w:szCs w:val="21"/>
        </w:rPr>
        <w:t xml:space="preserve"> kongrede sunulmamış ise, kabul yazısının </w:t>
      </w:r>
      <w:r w:rsidR="003D44E1">
        <w:rPr>
          <w:rFonts w:asciiTheme="majorHAnsi" w:hAnsiTheme="majorHAnsi" w:cs="Helvetica"/>
          <w:color w:val="333333"/>
          <w:sz w:val="21"/>
          <w:szCs w:val="21"/>
        </w:rPr>
        <w:t xml:space="preserve">anabilim dalı başkanlığına teslim edilmesi  yeterlidir. </w:t>
      </w:r>
    </w:p>
    <w:p w:rsidR="00A62C19" w:rsidRPr="003D44E1" w:rsidRDefault="00353CBF" w:rsidP="00373E4C">
      <w:pPr>
        <w:pStyle w:val="NormalWeb"/>
        <w:numPr>
          <w:ilvl w:val="0"/>
          <w:numId w:val="1"/>
        </w:numPr>
        <w:jc w:val="both"/>
        <w:rPr>
          <w:rFonts w:asciiTheme="majorHAnsi" w:hAnsiTheme="majorHAnsi" w:cs="Helvetica"/>
          <w:color w:val="333333"/>
          <w:sz w:val="21"/>
          <w:szCs w:val="21"/>
        </w:rPr>
      </w:pPr>
      <w:r w:rsidRPr="003D44E1">
        <w:rPr>
          <w:rFonts w:asciiTheme="majorHAnsi" w:hAnsiTheme="majorHAnsi" w:cs="Helvetica"/>
          <w:color w:val="333333"/>
          <w:sz w:val="21"/>
          <w:szCs w:val="21"/>
        </w:rPr>
        <w:t xml:space="preserve">ULAKBİM Dergi Park veritabanına veya uluslararası atıf indekslerine (SCI, SCI-EXPANDED, SSCI, </w:t>
      </w:r>
      <w:proofErr w:type="spellStart"/>
      <w:r w:rsidRPr="003D44E1">
        <w:rPr>
          <w:rFonts w:asciiTheme="majorHAnsi" w:hAnsiTheme="majorHAnsi" w:cs="Helvetica"/>
          <w:color w:val="333333"/>
          <w:sz w:val="21"/>
          <w:szCs w:val="21"/>
        </w:rPr>
        <w:t>Scopus</w:t>
      </w:r>
      <w:proofErr w:type="spellEnd"/>
      <w:r w:rsidRPr="003D44E1">
        <w:rPr>
          <w:rFonts w:asciiTheme="majorHAnsi" w:hAnsiTheme="majorHAnsi" w:cs="Helvetica"/>
          <w:color w:val="333333"/>
          <w:sz w:val="21"/>
          <w:szCs w:val="21"/>
        </w:rPr>
        <w:t xml:space="preserve">) kayıtlı </w:t>
      </w:r>
      <w:r w:rsidR="00373E4C" w:rsidRPr="003D44E1">
        <w:rPr>
          <w:rFonts w:asciiTheme="majorHAnsi" w:hAnsiTheme="majorHAnsi" w:cs="Helvetica"/>
          <w:color w:val="333333"/>
          <w:sz w:val="21"/>
          <w:szCs w:val="21"/>
        </w:rPr>
        <w:t>bir dergiye</w:t>
      </w:r>
      <w:r w:rsidRPr="003D44E1">
        <w:rPr>
          <w:rFonts w:asciiTheme="majorHAnsi" w:hAnsiTheme="majorHAnsi" w:cs="Helvetica"/>
          <w:color w:val="333333"/>
          <w:sz w:val="21"/>
          <w:szCs w:val="21"/>
        </w:rPr>
        <w:t xml:space="preserve"> gönderilmek </w:t>
      </w:r>
      <w:r w:rsidR="00FE31A9" w:rsidRPr="003D44E1">
        <w:rPr>
          <w:rFonts w:asciiTheme="majorHAnsi" w:hAnsiTheme="majorHAnsi" w:cs="Helvetica"/>
          <w:color w:val="333333"/>
          <w:sz w:val="21"/>
          <w:szCs w:val="21"/>
        </w:rPr>
        <w:t xml:space="preserve">için </w:t>
      </w:r>
      <w:r w:rsidRPr="003D44E1">
        <w:rPr>
          <w:rFonts w:asciiTheme="majorHAnsi" w:hAnsiTheme="majorHAnsi" w:cs="Helvetica"/>
          <w:color w:val="333333"/>
          <w:sz w:val="21"/>
          <w:szCs w:val="21"/>
        </w:rPr>
        <w:t>hazırla</w:t>
      </w:r>
      <w:r w:rsidR="003D44E1">
        <w:rPr>
          <w:rFonts w:asciiTheme="majorHAnsi" w:hAnsiTheme="majorHAnsi" w:cs="Helvetica"/>
          <w:color w:val="333333"/>
          <w:sz w:val="21"/>
          <w:szCs w:val="21"/>
        </w:rPr>
        <w:t>n</w:t>
      </w:r>
      <w:r w:rsidRPr="003D44E1">
        <w:rPr>
          <w:rFonts w:asciiTheme="majorHAnsi" w:hAnsiTheme="majorHAnsi" w:cs="Helvetica"/>
          <w:color w:val="333333"/>
          <w:sz w:val="21"/>
          <w:szCs w:val="21"/>
        </w:rPr>
        <w:t xml:space="preserve">mış ve danışmanı tarafından </w:t>
      </w:r>
      <w:r w:rsidR="00DD1115" w:rsidRPr="003D44E1">
        <w:rPr>
          <w:rFonts w:asciiTheme="majorHAnsi" w:hAnsiTheme="majorHAnsi" w:cs="Helvetica"/>
          <w:color w:val="333333"/>
          <w:sz w:val="21"/>
          <w:szCs w:val="21"/>
        </w:rPr>
        <w:t xml:space="preserve">hazır olduğu onanmış bir yayın </w:t>
      </w:r>
      <w:r w:rsidR="003D44E1">
        <w:rPr>
          <w:rFonts w:asciiTheme="majorHAnsi" w:hAnsiTheme="majorHAnsi" w:cs="Helvetica"/>
          <w:color w:val="333333"/>
          <w:sz w:val="21"/>
          <w:szCs w:val="21"/>
        </w:rPr>
        <w:t>bulunması şartı aranır.</w:t>
      </w:r>
    </w:p>
    <w:p w:rsidR="00353CBF" w:rsidRPr="003D44E1" w:rsidRDefault="00353CBF" w:rsidP="00DC410D">
      <w:pPr>
        <w:pStyle w:val="NormalWeb"/>
        <w:spacing w:before="600"/>
        <w:ind w:left="720"/>
        <w:jc w:val="both"/>
        <w:rPr>
          <w:rFonts w:asciiTheme="majorHAnsi" w:hAnsiTheme="majorHAnsi" w:cs="Helvetica"/>
          <w:color w:val="333333"/>
          <w:sz w:val="21"/>
          <w:szCs w:val="21"/>
        </w:rPr>
      </w:pPr>
      <w:r w:rsidRPr="003D44E1">
        <w:rPr>
          <w:rFonts w:asciiTheme="majorHAnsi" w:hAnsiTheme="majorHAnsi" w:cs="Helvetica"/>
          <w:color w:val="333333"/>
          <w:sz w:val="21"/>
          <w:szCs w:val="21"/>
        </w:rPr>
        <w:t>Bu ek koşulları yerine getirmeyen öğrenciler,  tez savunma sınavına alınmaz ve başarısız sayılırlar.</w:t>
      </w:r>
    </w:p>
    <w:p w:rsidR="00CA04F0" w:rsidRPr="003D44E1" w:rsidRDefault="00CA04F0" w:rsidP="00353CBF">
      <w:pPr>
        <w:pStyle w:val="NormalWeb"/>
        <w:jc w:val="both"/>
        <w:rPr>
          <w:rFonts w:asciiTheme="majorHAnsi" w:hAnsiTheme="majorHAnsi" w:cs="Helvetica"/>
          <w:color w:val="333333"/>
          <w:sz w:val="21"/>
          <w:szCs w:val="21"/>
        </w:rPr>
      </w:pPr>
    </w:p>
    <w:p w:rsidR="00AD7842" w:rsidRPr="003D44E1" w:rsidRDefault="00AD7842" w:rsidP="00353CBF">
      <w:pPr>
        <w:pStyle w:val="NormalWeb"/>
        <w:jc w:val="both"/>
        <w:rPr>
          <w:rFonts w:asciiTheme="majorHAnsi" w:hAnsiTheme="majorHAnsi" w:cs="Helvetica"/>
          <w:color w:val="333333"/>
          <w:sz w:val="21"/>
          <w:szCs w:val="21"/>
        </w:rPr>
      </w:pPr>
    </w:p>
    <w:p w:rsidR="00AD7842" w:rsidRPr="003D44E1" w:rsidRDefault="00AD7842" w:rsidP="00353CBF">
      <w:pPr>
        <w:pStyle w:val="NormalWeb"/>
        <w:jc w:val="both"/>
        <w:rPr>
          <w:rFonts w:asciiTheme="majorHAnsi" w:hAnsiTheme="majorHAnsi" w:cs="Helvetica"/>
          <w:color w:val="333333"/>
          <w:sz w:val="21"/>
          <w:szCs w:val="21"/>
        </w:rPr>
      </w:pPr>
    </w:p>
    <w:p w:rsidR="00AD7842" w:rsidRPr="003D44E1" w:rsidRDefault="00AD7842" w:rsidP="00AD7842">
      <w:pPr>
        <w:pStyle w:val="NormalWeb"/>
        <w:tabs>
          <w:tab w:val="left" w:pos="7425"/>
        </w:tabs>
        <w:jc w:val="both"/>
        <w:rPr>
          <w:rFonts w:asciiTheme="majorHAnsi" w:hAnsiTheme="majorHAnsi" w:cs="Helvetica"/>
          <w:color w:val="333333"/>
          <w:sz w:val="21"/>
          <w:szCs w:val="21"/>
        </w:rPr>
      </w:pPr>
      <w:r w:rsidRPr="003D44E1">
        <w:rPr>
          <w:rFonts w:asciiTheme="majorHAnsi" w:hAnsiTheme="majorHAnsi" w:cs="Helvetica"/>
          <w:color w:val="333333"/>
          <w:sz w:val="21"/>
          <w:szCs w:val="21"/>
        </w:rPr>
        <w:tab/>
      </w:r>
    </w:p>
    <w:p w:rsidR="00AD7842" w:rsidRPr="003D44E1" w:rsidRDefault="00AD7842" w:rsidP="00AD7842">
      <w:pPr>
        <w:pStyle w:val="NormalWeb"/>
        <w:tabs>
          <w:tab w:val="left" w:pos="7425"/>
        </w:tabs>
        <w:jc w:val="both"/>
        <w:rPr>
          <w:rFonts w:asciiTheme="majorHAnsi" w:hAnsiTheme="majorHAnsi" w:cs="Helvetica"/>
          <w:color w:val="333333"/>
          <w:sz w:val="21"/>
          <w:szCs w:val="21"/>
        </w:rPr>
      </w:pPr>
    </w:p>
    <w:p w:rsidR="00AD7842" w:rsidRPr="003D44E1" w:rsidRDefault="00AD7842" w:rsidP="00AD7842">
      <w:pPr>
        <w:pStyle w:val="NormalWeb"/>
        <w:jc w:val="right"/>
        <w:rPr>
          <w:rFonts w:asciiTheme="majorHAnsi" w:hAnsiTheme="majorHAnsi" w:cs="Helvetica"/>
          <w:b/>
          <w:color w:val="333333"/>
          <w:sz w:val="21"/>
          <w:szCs w:val="21"/>
        </w:rPr>
      </w:pPr>
      <w:r w:rsidRPr="003D44E1">
        <w:rPr>
          <w:rFonts w:asciiTheme="majorHAnsi" w:hAnsiTheme="majorHAnsi" w:cs="Helvetica"/>
          <w:b/>
          <w:color w:val="333333"/>
          <w:sz w:val="21"/>
          <w:szCs w:val="21"/>
        </w:rPr>
        <w:t xml:space="preserve">Pazarlama </w:t>
      </w:r>
      <w:r w:rsidR="003D44E1">
        <w:rPr>
          <w:rFonts w:asciiTheme="majorHAnsi" w:hAnsiTheme="majorHAnsi" w:cs="Helvetica"/>
          <w:b/>
          <w:color w:val="333333"/>
          <w:sz w:val="21"/>
          <w:szCs w:val="21"/>
        </w:rPr>
        <w:t>Anabilim Dalı</w:t>
      </w:r>
    </w:p>
    <w:p w:rsidR="00353CBF" w:rsidRPr="003D44E1" w:rsidRDefault="00353CBF" w:rsidP="00353CBF">
      <w:pPr>
        <w:pStyle w:val="NormalWeb"/>
        <w:jc w:val="both"/>
        <w:rPr>
          <w:rFonts w:asciiTheme="majorHAnsi" w:hAnsiTheme="majorHAnsi" w:cs="Helvetica"/>
          <w:color w:val="333333"/>
          <w:sz w:val="21"/>
          <w:szCs w:val="21"/>
        </w:rPr>
      </w:pPr>
    </w:p>
    <w:p w:rsidR="00AD7842" w:rsidRPr="003D44E1" w:rsidRDefault="00AD7842" w:rsidP="00353CBF">
      <w:pPr>
        <w:pStyle w:val="NormalWeb"/>
        <w:jc w:val="both"/>
        <w:rPr>
          <w:rFonts w:asciiTheme="majorHAnsi" w:hAnsiTheme="majorHAnsi" w:cs="Helvetica"/>
          <w:color w:val="333333"/>
          <w:sz w:val="21"/>
          <w:szCs w:val="21"/>
        </w:rPr>
      </w:pPr>
    </w:p>
    <w:p w:rsidR="00AD7842" w:rsidRPr="003D44E1" w:rsidRDefault="00AD7842" w:rsidP="00353CBF">
      <w:pPr>
        <w:pStyle w:val="NormalWeb"/>
        <w:jc w:val="both"/>
        <w:rPr>
          <w:rFonts w:asciiTheme="majorHAnsi" w:hAnsiTheme="majorHAnsi" w:cs="Helvetica"/>
          <w:color w:val="333333"/>
          <w:sz w:val="21"/>
          <w:szCs w:val="21"/>
        </w:rPr>
      </w:pPr>
    </w:p>
    <w:p w:rsidR="00AD7842" w:rsidRPr="003D44E1" w:rsidRDefault="00AD7842" w:rsidP="00353CBF">
      <w:pPr>
        <w:pStyle w:val="NormalWeb"/>
        <w:jc w:val="both"/>
        <w:rPr>
          <w:rFonts w:asciiTheme="majorHAnsi" w:hAnsiTheme="majorHAnsi" w:cs="Helvetica"/>
          <w:color w:val="333333"/>
          <w:sz w:val="21"/>
          <w:szCs w:val="21"/>
        </w:rPr>
      </w:pPr>
    </w:p>
    <w:p w:rsidR="007763FB" w:rsidRPr="003D44E1" w:rsidRDefault="007763FB" w:rsidP="00353CBF">
      <w:pPr>
        <w:rPr>
          <w:rFonts w:asciiTheme="majorHAnsi" w:hAnsiTheme="majorHAnsi"/>
        </w:rPr>
      </w:pPr>
    </w:p>
    <w:sectPr w:rsidR="007763FB" w:rsidRPr="003D44E1" w:rsidSect="00997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99" w:rsidRDefault="00524099" w:rsidP="00AD7842">
      <w:pPr>
        <w:spacing w:after="0" w:line="240" w:lineRule="auto"/>
      </w:pPr>
      <w:r>
        <w:separator/>
      </w:r>
    </w:p>
  </w:endnote>
  <w:endnote w:type="continuationSeparator" w:id="0">
    <w:p w:rsidR="00524099" w:rsidRDefault="00524099" w:rsidP="00AD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15" w:rsidRDefault="00DD111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15" w:rsidRDefault="00DD111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15" w:rsidRDefault="00DD111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99" w:rsidRDefault="00524099" w:rsidP="00AD7842">
      <w:pPr>
        <w:spacing w:after="0" w:line="240" w:lineRule="auto"/>
      </w:pPr>
      <w:r>
        <w:separator/>
      </w:r>
    </w:p>
  </w:footnote>
  <w:footnote w:type="continuationSeparator" w:id="0">
    <w:p w:rsidR="00524099" w:rsidRDefault="00524099" w:rsidP="00AD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15" w:rsidRDefault="00DD111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15" w:rsidRDefault="00DD111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15" w:rsidRDefault="00DD111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0193"/>
    <w:multiLevelType w:val="hybridMultilevel"/>
    <w:tmpl w:val="4FD61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B661D"/>
    <w:multiLevelType w:val="hybridMultilevel"/>
    <w:tmpl w:val="24845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739DF"/>
    <w:multiLevelType w:val="hybridMultilevel"/>
    <w:tmpl w:val="D4541F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2238B"/>
    <w:rsid w:val="00016DDB"/>
    <w:rsid w:val="0002238B"/>
    <w:rsid w:val="002A4BAD"/>
    <w:rsid w:val="00353CBF"/>
    <w:rsid w:val="00373E4C"/>
    <w:rsid w:val="00381303"/>
    <w:rsid w:val="003D44E1"/>
    <w:rsid w:val="00524099"/>
    <w:rsid w:val="005D2944"/>
    <w:rsid w:val="005D3023"/>
    <w:rsid w:val="005E1980"/>
    <w:rsid w:val="006E211A"/>
    <w:rsid w:val="00732018"/>
    <w:rsid w:val="007763FB"/>
    <w:rsid w:val="008655A8"/>
    <w:rsid w:val="00883E6C"/>
    <w:rsid w:val="009978C2"/>
    <w:rsid w:val="009A7EBA"/>
    <w:rsid w:val="00A62C19"/>
    <w:rsid w:val="00AD7842"/>
    <w:rsid w:val="00AF475C"/>
    <w:rsid w:val="00BC308D"/>
    <w:rsid w:val="00BD0FB9"/>
    <w:rsid w:val="00BF206E"/>
    <w:rsid w:val="00C52EB7"/>
    <w:rsid w:val="00C80A69"/>
    <w:rsid w:val="00CA04F0"/>
    <w:rsid w:val="00DC410D"/>
    <w:rsid w:val="00DD1115"/>
    <w:rsid w:val="00EE0164"/>
    <w:rsid w:val="00FC070D"/>
    <w:rsid w:val="00FE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53C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3C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353CBF"/>
    <w:rPr>
      <w:i/>
      <w:iCs/>
    </w:rPr>
  </w:style>
  <w:style w:type="table" w:styleId="TabloKlavuzu">
    <w:name w:val="Table Grid"/>
    <w:basedOn w:val="NormalTablo"/>
    <w:uiPriority w:val="59"/>
    <w:rsid w:val="00AD7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84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7842"/>
  </w:style>
  <w:style w:type="paragraph" w:styleId="Altbilgi">
    <w:name w:val="footer"/>
    <w:basedOn w:val="Normal"/>
    <w:link w:val="AltbilgiChar"/>
    <w:uiPriority w:val="99"/>
    <w:semiHidden/>
    <w:unhideWhenUsed/>
    <w:rsid w:val="00AD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D7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FE68A-BDA4-46F9-9ABB-E416D5EE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OKitapci</dc:creator>
  <cp:lastModifiedBy>OKitapci</cp:lastModifiedBy>
  <cp:revision>8</cp:revision>
  <cp:lastPrinted>2016-09-26T12:39:00Z</cp:lastPrinted>
  <dcterms:created xsi:type="dcterms:W3CDTF">2016-09-14T17:12:00Z</dcterms:created>
  <dcterms:modified xsi:type="dcterms:W3CDTF">2016-09-30T14:21:00Z</dcterms:modified>
</cp:coreProperties>
</file>