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D" w:rsidRDefault="006C247D" w:rsidP="00952AA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C247D">
        <w:rPr>
          <w:rFonts w:ascii="Times New Roman" w:hAnsi="Times New Roman" w:cs="Times New Roman"/>
          <w:b/>
          <w:bCs/>
          <w:sz w:val="28"/>
          <w:szCs w:val="24"/>
        </w:rPr>
        <w:t>Chancen und Herausforderungen durch Mehrsprachigkeit</w:t>
      </w:r>
      <w:r w:rsidRPr="006C247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C247D" w:rsidRPr="0040385E" w:rsidRDefault="006C247D" w:rsidP="00952AA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Transmigranten</w:t>
      </w:r>
    </w:p>
    <w:p w:rsidR="0039488A" w:rsidRDefault="00105DDD" w:rsidP="00952A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2531">
        <w:rPr>
          <w:rFonts w:ascii="Times New Roman" w:hAnsi="Times New Roman" w:cs="Times New Roman"/>
          <w:sz w:val="24"/>
          <w:szCs w:val="24"/>
        </w:rPr>
        <w:t xml:space="preserve">Nihal </w:t>
      </w:r>
      <w:proofErr w:type="spellStart"/>
      <w:r w:rsidRPr="00242531">
        <w:rPr>
          <w:rFonts w:ascii="Times New Roman" w:hAnsi="Times New Roman" w:cs="Times New Roman"/>
          <w:sz w:val="24"/>
          <w:szCs w:val="24"/>
        </w:rPr>
        <w:t>Durmuş</w:t>
      </w:r>
      <w:proofErr w:type="spellEnd"/>
      <w:r w:rsidR="0039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B3" w:rsidRDefault="00E574B3" w:rsidP="00952A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Katholische Universität Eichstätt-Ingolstadt</w:t>
      </w:r>
    </w:p>
    <w:p w:rsidR="00242036" w:rsidRPr="00242531" w:rsidRDefault="00242036" w:rsidP="00952A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nih.durmus@googlemail.com</w:t>
      </w:r>
    </w:p>
    <w:p w:rsidR="00105DDD" w:rsidRPr="00242531" w:rsidRDefault="00105DDD" w:rsidP="00833C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7C52" w:rsidRDefault="00C45E41" w:rsidP="00463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Zeitalter der Globalisierung</w:t>
      </w:r>
      <w:r w:rsidR="00831C08">
        <w:rPr>
          <w:rFonts w:ascii="Times New Roman" w:hAnsi="Times New Roman" w:cs="Times New Roman"/>
          <w:sz w:val="24"/>
          <w:szCs w:val="24"/>
        </w:rPr>
        <w:t>, da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31C08">
        <w:rPr>
          <w:rFonts w:ascii="Times New Roman" w:hAnsi="Times New Roman" w:cs="Times New Roman"/>
          <w:sz w:val="24"/>
          <w:szCs w:val="24"/>
        </w:rPr>
        <w:t>durch komplexe ökonomische, (inter-)kulturelle und soziopolitische Verflechtungen</w:t>
      </w:r>
      <w:r>
        <w:rPr>
          <w:rFonts w:ascii="Times New Roman" w:hAnsi="Times New Roman" w:cs="Times New Roman"/>
          <w:sz w:val="24"/>
          <w:szCs w:val="24"/>
        </w:rPr>
        <w:t xml:space="preserve"> geprägt ist,</w:t>
      </w:r>
      <w:r w:rsidR="00831C08">
        <w:rPr>
          <w:rFonts w:ascii="Times New Roman" w:hAnsi="Times New Roman" w:cs="Times New Roman"/>
          <w:sz w:val="24"/>
          <w:szCs w:val="24"/>
        </w:rPr>
        <w:t xml:space="preserve"> </w:t>
      </w:r>
      <w:r w:rsidR="00B431C9">
        <w:rPr>
          <w:rFonts w:ascii="Times New Roman" w:hAnsi="Times New Roman" w:cs="Times New Roman"/>
          <w:sz w:val="24"/>
          <w:szCs w:val="24"/>
        </w:rPr>
        <w:t>gewinnen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B3">
        <w:rPr>
          <w:rFonts w:ascii="Times New Roman" w:hAnsi="Times New Roman" w:cs="Times New Roman"/>
          <w:sz w:val="24"/>
          <w:szCs w:val="24"/>
        </w:rPr>
        <w:t>Transmigranten</w:t>
      </w:r>
      <w:r w:rsidR="004634B7" w:rsidRPr="004634B7">
        <w:rPr>
          <w:rFonts w:ascii="Times New Roman" w:hAnsi="Times New Roman" w:cs="Times New Roman"/>
          <w:sz w:val="24"/>
          <w:szCs w:val="24"/>
        </w:rPr>
        <w:t xml:space="preserve"> </w:t>
      </w:r>
      <w:r w:rsidR="000A0E39">
        <w:rPr>
          <w:rFonts w:ascii="Times New Roman" w:hAnsi="Times New Roman" w:cs="Times New Roman"/>
          <w:sz w:val="24"/>
          <w:szCs w:val="24"/>
        </w:rPr>
        <w:t>zunehmend an</w:t>
      </w:r>
      <w:r w:rsidR="00B431C9">
        <w:rPr>
          <w:rFonts w:ascii="Times New Roman" w:hAnsi="Times New Roman" w:cs="Times New Roman"/>
          <w:sz w:val="24"/>
          <w:szCs w:val="24"/>
        </w:rPr>
        <w:t xml:space="preserve"> Bedeutung</w:t>
      </w:r>
      <w:r w:rsidR="004634B7" w:rsidRPr="004634B7">
        <w:rPr>
          <w:rFonts w:ascii="Times New Roman" w:hAnsi="Times New Roman" w:cs="Times New Roman"/>
          <w:sz w:val="24"/>
          <w:szCs w:val="24"/>
        </w:rPr>
        <w:t>.</w:t>
      </w:r>
      <w:r w:rsidR="00B07D8D">
        <w:rPr>
          <w:rFonts w:ascii="Times New Roman" w:hAnsi="Times New Roman" w:cs="Times New Roman"/>
          <w:sz w:val="24"/>
          <w:szCs w:val="24"/>
        </w:rPr>
        <w:t xml:space="preserve"> Durch anhaltende</w:t>
      </w:r>
      <w:r w:rsidR="000A0E39">
        <w:rPr>
          <w:rFonts w:ascii="Times New Roman" w:hAnsi="Times New Roman" w:cs="Times New Roman"/>
          <w:sz w:val="24"/>
          <w:szCs w:val="24"/>
        </w:rPr>
        <w:t xml:space="preserve"> </w:t>
      </w:r>
      <w:r w:rsidR="00B07D8D">
        <w:rPr>
          <w:rFonts w:ascii="Times New Roman" w:hAnsi="Times New Roman" w:cs="Times New Roman"/>
          <w:sz w:val="24"/>
          <w:szCs w:val="24"/>
        </w:rPr>
        <w:t xml:space="preserve">raum-zeitliche </w:t>
      </w:r>
      <w:r w:rsidR="000A0E39">
        <w:rPr>
          <w:rFonts w:ascii="Times New Roman" w:hAnsi="Times New Roman" w:cs="Times New Roman"/>
          <w:sz w:val="24"/>
          <w:szCs w:val="24"/>
        </w:rPr>
        <w:t xml:space="preserve">Mobilität und </w:t>
      </w:r>
      <w:r w:rsidR="00B07D8D">
        <w:rPr>
          <w:rFonts w:ascii="Times New Roman" w:hAnsi="Times New Roman" w:cs="Times New Roman"/>
          <w:sz w:val="24"/>
          <w:szCs w:val="24"/>
        </w:rPr>
        <w:t xml:space="preserve">Nutzung </w:t>
      </w:r>
      <w:r w:rsidR="000A0E39">
        <w:rPr>
          <w:rFonts w:ascii="Times New Roman" w:hAnsi="Times New Roman" w:cs="Times New Roman"/>
          <w:sz w:val="24"/>
          <w:szCs w:val="24"/>
        </w:rPr>
        <w:t>neue</w:t>
      </w:r>
      <w:r w:rsidR="00B07D8D">
        <w:rPr>
          <w:rFonts w:ascii="Times New Roman" w:hAnsi="Times New Roman" w:cs="Times New Roman"/>
          <w:sz w:val="24"/>
          <w:szCs w:val="24"/>
        </w:rPr>
        <w:t>r</w:t>
      </w:r>
      <w:r w:rsidR="000A0E39">
        <w:rPr>
          <w:rFonts w:ascii="Times New Roman" w:hAnsi="Times New Roman" w:cs="Times New Roman"/>
          <w:sz w:val="24"/>
          <w:szCs w:val="24"/>
        </w:rPr>
        <w:t xml:space="preserve"> Informations- und Kommunikationstechnologien </w:t>
      </w:r>
      <w:r w:rsidR="00B07D8D">
        <w:rPr>
          <w:rFonts w:ascii="Times New Roman" w:hAnsi="Times New Roman" w:cs="Times New Roman"/>
          <w:sz w:val="24"/>
          <w:szCs w:val="24"/>
        </w:rPr>
        <w:t>erschließen</w:t>
      </w:r>
      <w:r w:rsidR="000A0E39">
        <w:rPr>
          <w:rFonts w:ascii="Times New Roman" w:hAnsi="Times New Roman" w:cs="Times New Roman"/>
          <w:sz w:val="24"/>
          <w:szCs w:val="24"/>
        </w:rPr>
        <w:t xml:space="preserve"> </w:t>
      </w:r>
      <w:r w:rsidR="00B07D8D">
        <w:rPr>
          <w:rFonts w:ascii="Times New Roman" w:hAnsi="Times New Roman" w:cs="Times New Roman"/>
          <w:sz w:val="24"/>
          <w:szCs w:val="24"/>
        </w:rPr>
        <w:t xml:space="preserve">sich </w:t>
      </w:r>
      <w:r w:rsidR="00E574B3">
        <w:rPr>
          <w:rFonts w:ascii="Times New Roman" w:hAnsi="Times New Roman" w:cs="Times New Roman"/>
          <w:sz w:val="24"/>
          <w:szCs w:val="24"/>
        </w:rPr>
        <w:t>Transmigranten</w:t>
      </w:r>
      <w:r w:rsidR="000A0E39">
        <w:rPr>
          <w:rFonts w:ascii="Times New Roman" w:hAnsi="Times New Roman" w:cs="Times New Roman"/>
          <w:sz w:val="24"/>
          <w:szCs w:val="24"/>
        </w:rPr>
        <w:t xml:space="preserve"> </w:t>
      </w:r>
      <w:r w:rsidR="00B07D8D">
        <w:rPr>
          <w:rFonts w:ascii="Times New Roman" w:hAnsi="Times New Roman" w:cs="Times New Roman"/>
          <w:sz w:val="24"/>
          <w:szCs w:val="24"/>
        </w:rPr>
        <w:t xml:space="preserve">neue Lebens- und Sozialräume und tragen entscheidend zum </w:t>
      </w:r>
      <w:r w:rsidR="00EB7893">
        <w:rPr>
          <w:rFonts w:ascii="Times New Roman" w:hAnsi="Times New Roman" w:cs="Times New Roman"/>
          <w:sz w:val="24"/>
          <w:szCs w:val="24"/>
        </w:rPr>
        <w:t xml:space="preserve">sprachlichen </w:t>
      </w:r>
      <w:r w:rsidR="00B07D8D">
        <w:rPr>
          <w:rFonts w:ascii="Times New Roman" w:hAnsi="Times New Roman" w:cs="Times New Roman"/>
          <w:sz w:val="24"/>
          <w:szCs w:val="24"/>
        </w:rPr>
        <w:t xml:space="preserve">Wandel moderner Gesellschaften bei. </w:t>
      </w:r>
    </w:p>
    <w:p w:rsidR="004634B7" w:rsidRPr="004E7C52" w:rsidRDefault="006C39FF" w:rsidP="004634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Das Vortragsthema steht im Zusammenhang mit </w:t>
      </w:r>
      <w:r w:rsidR="004E7C52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dem </w:t>
      </w:r>
      <w:r w:rsidR="00105DDD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</w:t>
      </w:r>
      <w:r w:rsidR="004E7C52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vorhaben </w:t>
      </w:r>
      <w:r w:rsidR="004634B7" w:rsidRPr="004E7C52">
        <w:rPr>
          <w:rFonts w:ascii="Times New Roman" w:hAnsi="Times New Roman" w:cs="Times New Roman"/>
          <w:i/>
          <w:sz w:val="24"/>
          <w:szCs w:val="24"/>
        </w:rPr>
        <w:t>Veränderungen von sprachlichen Formen (Prosodie, Wortschatz, Wortstellung) im Sprachkontakt</w:t>
      </w:r>
      <w:r w:rsidR="004634B7" w:rsidRPr="00ED44AB">
        <w:rPr>
          <w:rFonts w:ascii="Times New Roman" w:hAnsi="Times New Roman" w:cs="Times New Roman"/>
          <w:sz w:val="24"/>
          <w:szCs w:val="24"/>
        </w:rPr>
        <w:t xml:space="preserve">. Im Fokus des Forschungsvorhabens steht die Entwicklung der türkischen Sprache zu einer </w:t>
      </w:r>
      <w:proofErr w:type="spellStart"/>
      <w:r w:rsidR="004634B7" w:rsidRPr="00ED44AB">
        <w:rPr>
          <w:rFonts w:ascii="Times New Roman" w:hAnsi="Times New Roman" w:cs="Times New Roman"/>
          <w:sz w:val="24"/>
          <w:szCs w:val="24"/>
        </w:rPr>
        <w:t>plurizentrischen</w:t>
      </w:r>
      <w:proofErr w:type="spellEnd"/>
      <w:r w:rsidR="004634B7" w:rsidRPr="00ED44AB">
        <w:rPr>
          <w:rFonts w:ascii="Times New Roman" w:hAnsi="Times New Roman" w:cs="Times New Roman"/>
          <w:sz w:val="24"/>
          <w:szCs w:val="24"/>
        </w:rPr>
        <w:t xml:space="preserve"> Sprache und der daraus ableitbaren sprachpolitischen, kulturellen und ökonomischen Bedeutung für die EU und die Türkei.</w:t>
      </w:r>
      <w:r w:rsidR="004E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70" w:rsidRDefault="004634B7" w:rsidP="004E7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AB">
        <w:rPr>
          <w:rFonts w:ascii="Times New Roman" w:hAnsi="Times New Roman" w:cs="Times New Roman"/>
          <w:sz w:val="24"/>
          <w:szCs w:val="24"/>
        </w:rPr>
        <w:t xml:space="preserve">Rückblickend auf eine nun mehr als fünfzigjährige Migrationsgeschichte befindet sich die türkische Sprache in einem Sprachwandelprozess in Westeuropa. </w:t>
      </w:r>
      <w:r w:rsidR="000B2270">
        <w:rPr>
          <w:rFonts w:ascii="Times New Roman" w:hAnsi="Times New Roman" w:cs="Times New Roman"/>
          <w:sz w:val="24"/>
          <w:szCs w:val="24"/>
        </w:rPr>
        <w:t>Vor dem Hintergrund</w:t>
      </w:r>
      <w:r w:rsidR="000B2270" w:rsidRPr="00300F47">
        <w:rPr>
          <w:rFonts w:ascii="Times New Roman" w:hAnsi="Times New Roman" w:cs="Times New Roman"/>
          <w:sz w:val="24"/>
          <w:szCs w:val="24"/>
        </w:rPr>
        <w:t xml:space="preserve"> </w:t>
      </w:r>
      <w:r w:rsidR="000B2270">
        <w:rPr>
          <w:rFonts w:ascii="Times New Roman" w:hAnsi="Times New Roman" w:cs="Times New Roman"/>
          <w:sz w:val="24"/>
          <w:szCs w:val="24"/>
        </w:rPr>
        <w:t>komplexer multilingualer</w:t>
      </w:r>
      <w:r w:rsidR="000B2270" w:rsidRPr="00300F47">
        <w:rPr>
          <w:rFonts w:ascii="Times New Roman" w:hAnsi="Times New Roman" w:cs="Times New Roman"/>
          <w:sz w:val="24"/>
          <w:szCs w:val="24"/>
        </w:rPr>
        <w:t xml:space="preserve"> Sprachkonstellationen</w:t>
      </w:r>
      <w:r w:rsidR="000B22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2270">
        <w:rPr>
          <w:rFonts w:ascii="Times New Roman" w:hAnsi="Times New Roman" w:cs="Times New Roman"/>
          <w:sz w:val="24"/>
          <w:szCs w:val="24"/>
        </w:rPr>
        <w:t>Ethnolekte</w:t>
      </w:r>
      <w:proofErr w:type="spellEnd"/>
      <w:r w:rsidR="000B2270">
        <w:rPr>
          <w:rFonts w:ascii="Times New Roman" w:hAnsi="Times New Roman" w:cs="Times New Roman"/>
          <w:sz w:val="24"/>
          <w:szCs w:val="24"/>
        </w:rPr>
        <w:t>/Soziolekte)</w:t>
      </w:r>
      <w:r w:rsidR="000B2270" w:rsidRPr="00300F47">
        <w:rPr>
          <w:rFonts w:ascii="Times New Roman" w:hAnsi="Times New Roman" w:cs="Times New Roman"/>
          <w:sz w:val="24"/>
          <w:szCs w:val="24"/>
        </w:rPr>
        <w:t xml:space="preserve"> </w:t>
      </w:r>
      <w:r w:rsidR="000B2270">
        <w:rPr>
          <w:rFonts w:ascii="Times New Roman" w:hAnsi="Times New Roman" w:cs="Times New Roman"/>
          <w:sz w:val="24"/>
          <w:szCs w:val="24"/>
        </w:rPr>
        <w:t>zeichnet sich der Sprachgebrauch</w:t>
      </w:r>
      <w:r w:rsidR="00833C7B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833C7B">
        <w:rPr>
          <w:rFonts w:ascii="Times New Roman" w:hAnsi="Times New Roman" w:cs="Times New Roman"/>
          <w:sz w:val="24"/>
          <w:szCs w:val="24"/>
        </w:rPr>
        <w:t>Migrantentürken</w:t>
      </w:r>
      <w:proofErr w:type="spellEnd"/>
      <w:r w:rsidR="00833C7B">
        <w:rPr>
          <w:rFonts w:ascii="Times New Roman" w:hAnsi="Times New Roman" w:cs="Times New Roman"/>
          <w:sz w:val="24"/>
          <w:szCs w:val="24"/>
        </w:rPr>
        <w:t xml:space="preserve"> durch die Verwendung </w:t>
      </w:r>
      <w:r w:rsidR="000B2270">
        <w:rPr>
          <w:rFonts w:ascii="Times New Roman" w:hAnsi="Times New Roman" w:cs="Times New Roman"/>
          <w:sz w:val="24"/>
          <w:szCs w:val="24"/>
        </w:rPr>
        <w:t>unterschiedliche</w:t>
      </w:r>
      <w:r w:rsidR="00833C7B">
        <w:rPr>
          <w:rFonts w:ascii="Times New Roman" w:hAnsi="Times New Roman" w:cs="Times New Roman"/>
          <w:sz w:val="24"/>
          <w:szCs w:val="24"/>
        </w:rPr>
        <w:t>r</w:t>
      </w:r>
      <w:r w:rsidR="000B2270" w:rsidRPr="00300F47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Varianten der Varietäten des</w:t>
      </w:r>
      <w:r w:rsidR="000B2270" w:rsidRPr="00300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2270" w:rsidRPr="00300F47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Türkischen und anderer Mehrheitssprachen (inklusive der dialektalen</w:t>
      </w:r>
      <w:r w:rsidR="000B2270" w:rsidRPr="00300F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2270" w:rsidRPr="00300F47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Varianten</w:t>
      </w:r>
      <w:r w:rsidR="009B30B1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häufiges "</w:t>
      </w:r>
      <w:proofErr w:type="spellStart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codeswitching</w:t>
      </w:r>
      <w:proofErr w:type="spellEnd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/-</w:t>
      </w:r>
      <w:proofErr w:type="spellStart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mixing</w:t>
      </w:r>
      <w:proofErr w:type="spellEnd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 </w:t>
      </w:r>
      <w:r w:rsidR="009B30B1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sowie</w:t>
      </w:r>
      <w:r w:rsidR="00833C7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kreative</w:t>
      </w:r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polylanguaging</w:t>
      </w:r>
      <w:proofErr w:type="spellEnd"/>
      <w:r w:rsidR="000B2270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"-Praktiken aus.</w:t>
      </w:r>
    </w:p>
    <w:p w:rsidR="004634B7" w:rsidRDefault="004634B7" w:rsidP="004E7C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Binnenmigration in Westeuropa und </w:t>
      </w:r>
      <w:proofErr w:type="spellStart"/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Remigration</w:t>
      </w:r>
      <w:proofErr w:type="spellEnd"/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die Türkei fördern die Herausbildung transnationaler Identitäten unter </w:t>
      </w:r>
      <w:r w:rsidR="00A323CA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den </w:t>
      </w:r>
      <w:proofErr w:type="spellStart"/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Migrantentürken</w:t>
      </w:r>
      <w:proofErr w:type="spellEnd"/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die eine Ressource der</w:t>
      </w:r>
      <w:r w:rsidRPr="00ED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kulturellen, sozialen und ökonomischen Bereicherung der EU und der Türkei</w:t>
      </w:r>
      <w:r w:rsidRPr="00ED44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44AB">
        <w:rPr>
          <w:rStyle w:val="i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darstellen.</w:t>
      </w:r>
    </w:p>
    <w:p w:rsidR="001B2E6B" w:rsidRDefault="00647D30" w:rsidP="004E7C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 Rahmen</w:t>
      </w:r>
      <w:r w:rsidR="004E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von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Interviews zu individuellen Sprachbiographien soll das sprachliche Repertoire</w:t>
      </w:r>
      <w:r w:rsidR="004E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transnationaler </w:t>
      </w:r>
      <w:r w:rsidR="00B66F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Sprachidentitäten </w:t>
      </w:r>
      <w:r w:rsidR="000B2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unter den </w:t>
      </w:r>
      <w:proofErr w:type="spellStart"/>
      <w:r w:rsidR="000B2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Migrantentürken</w:t>
      </w:r>
      <w:proofErr w:type="spellEnd"/>
      <w:r w:rsidR="000B2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einer näheren Analyse unterzogen werden</w:t>
      </w:r>
      <w:r w:rsidR="001B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und </w:t>
      </w:r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mögliche </w:t>
      </w:r>
      <w:r w:rsidR="001B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Ansätze zu einer </w:t>
      </w:r>
      <w:r w:rsidR="00D50E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besseren</w:t>
      </w:r>
      <w:r w:rsidR="001B2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Integration der </w:t>
      </w:r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unterschiedlichen Sprachbiographien</w:t>
      </w:r>
      <w:r w:rsidR="00D50E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C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von</w:t>
      </w:r>
      <w:r w:rsidR="00D50E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50E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Migrantentürken</w:t>
      </w:r>
      <w:proofErr w:type="spellEnd"/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952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die </w:t>
      </w:r>
      <w:proofErr w:type="spellStart"/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Lernersprachenforschung</w:t>
      </w:r>
      <w:proofErr w:type="spellEnd"/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2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auf</w:t>
      </w:r>
      <w:r w:rsidR="00833C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gezeigt werden</w:t>
      </w:r>
      <w:r w:rsidR="009B30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920CA" w:rsidRPr="00242036" w:rsidRDefault="000920CA" w:rsidP="0040385E">
      <w:pPr>
        <w:pStyle w:val="NormalWeb"/>
        <w:shd w:val="clear" w:color="auto" w:fill="FFFFFF"/>
        <w:spacing w:line="299" w:lineRule="atLeast"/>
        <w:jc w:val="both"/>
        <w:rPr>
          <w:b/>
          <w:color w:val="333333"/>
        </w:rPr>
      </w:pPr>
    </w:p>
    <w:p w:rsidR="001B2E6B" w:rsidRPr="0040385E" w:rsidRDefault="0040385E" w:rsidP="0040385E">
      <w:pPr>
        <w:pStyle w:val="NormalWeb"/>
        <w:shd w:val="clear" w:color="auto" w:fill="FFFFFF"/>
        <w:spacing w:line="299" w:lineRule="atLeast"/>
        <w:jc w:val="both"/>
        <w:rPr>
          <w:b/>
          <w:color w:val="333333"/>
          <w:lang w:val="en-US"/>
        </w:rPr>
      </w:pPr>
      <w:proofErr w:type="spellStart"/>
      <w:r w:rsidRPr="0040385E">
        <w:rPr>
          <w:b/>
          <w:color w:val="333333"/>
          <w:lang w:val="en-US"/>
        </w:rPr>
        <w:lastRenderedPageBreak/>
        <w:t>Literatur</w:t>
      </w:r>
      <w:proofErr w:type="spellEnd"/>
      <w:r w:rsidRPr="0040385E">
        <w:rPr>
          <w:b/>
          <w:color w:val="333333"/>
          <w:lang w:val="en-US"/>
        </w:rPr>
        <w:t>:</w:t>
      </w:r>
    </w:p>
    <w:p w:rsidR="00D50E01" w:rsidRPr="00242036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proofErr w:type="spellStart"/>
      <w:proofErr w:type="gramStart"/>
      <w:r>
        <w:rPr>
          <w:color w:val="333333"/>
          <w:lang w:val="en-US"/>
        </w:rPr>
        <w:t>Blommaert</w:t>
      </w:r>
      <w:proofErr w:type="spellEnd"/>
      <w:r>
        <w:rPr>
          <w:color w:val="333333"/>
          <w:lang w:val="en-US"/>
        </w:rPr>
        <w:t>, Jan (2010).</w:t>
      </w:r>
      <w:proofErr w:type="gramEnd"/>
      <w:r w:rsidRPr="0040385E">
        <w:rPr>
          <w:color w:val="333333"/>
          <w:lang w:val="en-US"/>
        </w:rPr>
        <w:t xml:space="preserve"> </w:t>
      </w:r>
      <w:proofErr w:type="gramStart"/>
      <w:r w:rsidRPr="0040385E">
        <w:rPr>
          <w:i/>
          <w:color w:val="333333"/>
          <w:lang w:val="en-US"/>
        </w:rPr>
        <w:t>The Sociolinguistics of Globalization</w:t>
      </w:r>
      <w:r>
        <w:rPr>
          <w:color w:val="333333"/>
          <w:lang w:val="en-US"/>
        </w:rPr>
        <w:t>.</w:t>
      </w:r>
      <w:proofErr w:type="gramEnd"/>
      <w:r w:rsidRPr="0040385E">
        <w:rPr>
          <w:color w:val="333333"/>
          <w:lang w:val="en-US"/>
        </w:rPr>
        <w:t xml:space="preserve"> </w:t>
      </w:r>
      <w:proofErr w:type="gramStart"/>
      <w:r w:rsidR="00833C7B" w:rsidRPr="00242036">
        <w:rPr>
          <w:color w:val="333333"/>
          <w:lang w:val="en-US"/>
        </w:rPr>
        <w:t>Cambridge University Press</w:t>
      </w:r>
      <w:r w:rsidRPr="00242036">
        <w:rPr>
          <w:color w:val="333333"/>
          <w:lang w:val="en-US"/>
        </w:rPr>
        <w:t>.</w:t>
      </w:r>
      <w:proofErr w:type="gramEnd"/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r w:rsidRPr="00D50E01">
        <w:rPr>
          <w:color w:val="333333"/>
          <w:lang w:val="tr-TR"/>
        </w:rPr>
        <w:t xml:space="preserve">Cindark/Aslan (2004). </w:t>
      </w:r>
      <w:r w:rsidRPr="00D50E01">
        <w:rPr>
          <w:i/>
          <w:iCs/>
          <w:color w:val="333333"/>
          <w:lang w:val="tr-TR"/>
        </w:rPr>
        <w:t>Deutschlandtürkisch</w:t>
      </w:r>
      <w:r w:rsidRPr="00D50E01">
        <w:rPr>
          <w:color w:val="333333"/>
          <w:lang w:val="tr-TR"/>
        </w:rPr>
        <w:t>? IDS Mannheim.</w:t>
      </w:r>
    </w:p>
    <w:p w:rsidR="00D50E01" w:rsidRPr="00C77CDB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Clyne (1992). </w:t>
      </w:r>
      <w:r w:rsidRPr="00D50E01">
        <w:rPr>
          <w:i/>
          <w:iCs/>
          <w:color w:val="333333"/>
          <w:lang w:val="tr-TR"/>
        </w:rPr>
        <w:t>Pluricentric Languages. Differing Norms in Different Nations</w:t>
      </w:r>
      <w:r w:rsidRPr="00D50E01">
        <w:rPr>
          <w:color w:val="333333"/>
          <w:lang w:val="tr-TR"/>
        </w:rPr>
        <w:t>. Berlin/New York: Mouton de Gruyter.</w:t>
      </w:r>
      <w:r w:rsidRPr="00C77CDB">
        <w:rPr>
          <w:color w:val="333333"/>
          <w:lang w:val="en-US"/>
        </w:rPr>
        <w:t xml:space="preserve"> </w:t>
      </w:r>
    </w:p>
    <w:p w:rsidR="00D50E01" w:rsidRPr="00C77CDB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Clyne/Kipp (1999). </w:t>
      </w:r>
      <w:r w:rsidRPr="00D50E01">
        <w:rPr>
          <w:i/>
          <w:iCs/>
          <w:color w:val="333333"/>
          <w:lang w:val="tr-TR"/>
        </w:rPr>
        <w:t>Pluricentric Languages in an Immigrant Contex</w:t>
      </w:r>
      <w:r w:rsidRPr="00D50E01">
        <w:rPr>
          <w:color w:val="333333"/>
          <w:lang w:val="tr-TR"/>
        </w:rPr>
        <w:t>t. Mouton de Gruyter.</w:t>
      </w:r>
    </w:p>
    <w:p w:rsidR="00D50E01" w:rsidRPr="00C77CDB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Dabelsteen/Jørgensen (Eds.) (2004). </w:t>
      </w:r>
      <w:r w:rsidRPr="00D50E01">
        <w:rPr>
          <w:i/>
          <w:iCs/>
          <w:color w:val="333333"/>
          <w:lang w:val="tr-TR"/>
        </w:rPr>
        <w:t>Languaging and Language Practices</w:t>
      </w:r>
      <w:r w:rsidRPr="00D50E01">
        <w:rPr>
          <w:color w:val="333333"/>
          <w:lang w:val="tr-TR"/>
        </w:rPr>
        <w:t>. Copenhagen Studies in Bilingualism.</w:t>
      </w:r>
    </w:p>
    <w:p w:rsidR="00D50E01" w:rsidRPr="00C77CDB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Extra/Gorter (Eds.) (2001). </w:t>
      </w:r>
      <w:r w:rsidRPr="00D50E01">
        <w:rPr>
          <w:i/>
          <w:iCs/>
          <w:color w:val="333333"/>
          <w:lang w:val="tr-TR"/>
        </w:rPr>
        <w:t>The Other Languages of Europe</w:t>
      </w:r>
      <w:r w:rsidRPr="00D50E01">
        <w:rPr>
          <w:color w:val="333333"/>
          <w:lang w:val="tr-TR"/>
        </w:rPr>
        <w:t>. European Cultural Foundation.</w:t>
      </w:r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House/Rehbein (2004). </w:t>
      </w:r>
      <w:r w:rsidRPr="00D50E01">
        <w:rPr>
          <w:i/>
          <w:iCs/>
          <w:color w:val="333333"/>
          <w:lang w:val="tr-TR"/>
        </w:rPr>
        <w:t>Multilingual Communication</w:t>
      </w:r>
      <w:r w:rsidRPr="00D50E01">
        <w:rPr>
          <w:color w:val="333333"/>
          <w:lang w:val="tr-TR"/>
        </w:rPr>
        <w:t>. Hamburger Studies on Multilingualism.</w:t>
      </w:r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r w:rsidRPr="00D50E01">
        <w:rPr>
          <w:color w:val="333333"/>
          <w:lang w:val="tr-TR"/>
        </w:rPr>
        <w:t xml:space="preserve">Johanson (2001). „Vom Alttürkischen zu den modernen Turksprachen.” In: </w:t>
      </w:r>
      <w:r w:rsidRPr="00D50E01">
        <w:rPr>
          <w:i/>
          <w:iCs/>
          <w:color w:val="333333"/>
          <w:lang w:val="tr-TR"/>
        </w:rPr>
        <w:t>Language Typology and Language Universals</w:t>
      </w:r>
      <w:r w:rsidR="00833C7B">
        <w:rPr>
          <w:color w:val="333333"/>
          <w:lang w:val="tr-TR"/>
        </w:rPr>
        <w:t>. Berlin</w:t>
      </w:r>
      <w:r w:rsidRPr="00D50E01">
        <w:rPr>
          <w:color w:val="333333"/>
          <w:lang w:val="tr-TR"/>
        </w:rPr>
        <w:t>: Walter de Gruyter.</w:t>
      </w:r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r w:rsidRPr="00D50E01">
        <w:rPr>
          <w:color w:val="333333"/>
          <w:lang w:val="tr-TR"/>
        </w:rPr>
        <w:t xml:space="preserve">Johanson/Rehbein (Eds.) (1999). </w:t>
      </w:r>
      <w:r w:rsidRPr="00D50E01">
        <w:rPr>
          <w:i/>
          <w:iCs/>
          <w:color w:val="333333"/>
          <w:lang w:val="tr-TR"/>
        </w:rPr>
        <w:t>Türkisch im Vergleich</w:t>
      </w:r>
      <w:r w:rsidRPr="00D50E01">
        <w:rPr>
          <w:color w:val="333333"/>
          <w:lang w:val="tr-TR"/>
        </w:rPr>
        <w:t xml:space="preserve">. Wiesbaden: Harrassowitz Verlag. </w:t>
      </w:r>
    </w:p>
    <w:p w:rsidR="00D50E01" w:rsidRPr="00242036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proofErr w:type="spellStart"/>
      <w:r w:rsidRPr="00242036">
        <w:rPr>
          <w:color w:val="333333"/>
          <w:lang w:val="en-US"/>
        </w:rPr>
        <w:t>Jørgensen</w:t>
      </w:r>
      <w:proofErr w:type="spellEnd"/>
      <w:r w:rsidRPr="00242036">
        <w:rPr>
          <w:color w:val="333333"/>
          <w:lang w:val="en-US"/>
        </w:rPr>
        <w:t>, J. N. (ed.) (2008).</w:t>
      </w:r>
      <w:r>
        <w:rPr>
          <w:color w:val="333333"/>
          <w:lang w:val="en-US"/>
        </w:rPr>
        <w:t>"</w:t>
      </w:r>
      <w:proofErr w:type="spellStart"/>
      <w:proofErr w:type="gramStart"/>
      <w:r w:rsidRPr="0040385E">
        <w:rPr>
          <w:color w:val="333333"/>
          <w:lang w:val="en-US"/>
        </w:rPr>
        <w:t>Polylingual</w:t>
      </w:r>
      <w:proofErr w:type="spellEnd"/>
      <w:r w:rsidRPr="0040385E">
        <w:rPr>
          <w:color w:val="333333"/>
          <w:lang w:val="en-US"/>
        </w:rPr>
        <w:t xml:space="preserve"> </w:t>
      </w:r>
      <w:proofErr w:type="spellStart"/>
      <w:r w:rsidRPr="0040385E">
        <w:rPr>
          <w:color w:val="333333"/>
          <w:lang w:val="en-US"/>
        </w:rPr>
        <w:t>Languaging</w:t>
      </w:r>
      <w:proofErr w:type="spellEnd"/>
      <w:r w:rsidRPr="0040385E">
        <w:rPr>
          <w:color w:val="333333"/>
          <w:lang w:val="en-US"/>
        </w:rPr>
        <w:t xml:space="preserve"> Around and Among Children and Adolescents.</w:t>
      </w:r>
      <w:r>
        <w:rPr>
          <w:color w:val="333333"/>
          <w:lang w:val="en-US"/>
        </w:rPr>
        <w:t>"</w:t>
      </w:r>
      <w:proofErr w:type="gramEnd"/>
      <w:r w:rsidRPr="0040385E">
        <w:rPr>
          <w:color w:val="333333"/>
          <w:lang w:val="en-US"/>
        </w:rPr>
        <w:t xml:space="preserve"> </w:t>
      </w:r>
      <w:r w:rsidRPr="00242036">
        <w:rPr>
          <w:i/>
          <w:color w:val="333333"/>
        </w:rPr>
        <w:t xml:space="preserve">International Journal </w:t>
      </w:r>
      <w:proofErr w:type="spellStart"/>
      <w:r w:rsidRPr="00242036">
        <w:rPr>
          <w:i/>
          <w:color w:val="333333"/>
        </w:rPr>
        <w:t>of</w:t>
      </w:r>
      <w:proofErr w:type="spellEnd"/>
      <w:r w:rsidRPr="00242036">
        <w:rPr>
          <w:i/>
          <w:color w:val="333333"/>
        </w:rPr>
        <w:t xml:space="preserve"> </w:t>
      </w:r>
      <w:proofErr w:type="spellStart"/>
      <w:r w:rsidRPr="00242036">
        <w:rPr>
          <w:i/>
          <w:color w:val="333333"/>
        </w:rPr>
        <w:t>Multilinguali</w:t>
      </w:r>
      <w:r w:rsidRPr="00242036">
        <w:rPr>
          <w:color w:val="333333"/>
        </w:rPr>
        <w:t>sm</w:t>
      </w:r>
      <w:proofErr w:type="spellEnd"/>
      <w:r w:rsidRPr="00242036">
        <w:rPr>
          <w:color w:val="333333"/>
        </w:rPr>
        <w:t>, vol. 5:3.</w:t>
      </w:r>
    </w:p>
    <w:p w:rsidR="00D50E01" w:rsidRPr="00242036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833C7B">
        <w:rPr>
          <w:color w:val="333333"/>
        </w:rPr>
        <w:t>Maas, Utz (</w:t>
      </w:r>
      <w:r w:rsidR="00833C7B" w:rsidRPr="00833C7B">
        <w:rPr>
          <w:color w:val="333333"/>
        </w:rPr>
        <w:t xml:space="preserve">2008). </w:t>
      </w:r>
      <w:r w:rsidR="00833C7B" w:rsidRPr="00833C7B">
        <w:rPr>
          <w:i/>
          <w:color w:val="333333"/>
        </w:rPr>
        <w:t>Sprache und Sprachen in der Migrationsgesellschaft</w:t>
      </w:r>
      <w:r w:rsidR="00833C7B">
        <w:rPr>
          <w:color w:val="333333"/>
        </w:rPr>
        <w:t xml:space="preserve">. </w:t>
      </w:r>
      <w:proofErr w:type="spellStart"/>
      <w:r w:rsidR="00833C7B" w:rsidRPr="00242036">
        <w:rPr>
          <w:color w:val="333333"/>
          <w:lang w:val="en-US"/>
        </w:rPr>
        <w:t>Universitätsverlag</w:t>
      </w:r>
      <w:proofErr w:type="spellEnd"/>
      <w:r w:rsidR="00833C7B" w:rsidRPr="00242036">
        <w:rPr>
          <w:color w:val="333333"/>
          <w:lang w:val="en-US"/>
        </w:rPr>
        <w:t xml:space="preserve"> </w:t>
      </w:r>
      <w:proofErr w:type="spellStart"/>
      <w:r w:rsidR="00833C7B" w:rsidRPr="00242036">
        <w:rPr>
          <w:color w:val="333333"/>
          <w:lang w:val="en-US"/>
        </w:rPr>
        <w:t>Osnabrück</w:t>
      </w:r>
      <w:proofErr w:type="spellEnd"/>
      <w:r w:rsidR="00833C7B" w:rsidRPr="00242036">
        <w:rPr>
          <w:color w:val="333333"/>
          <w:lang w:val="en-US"/>
        </w:rPr>
        <w:t>.</w:t>
      </w:r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Matras, Jaron (2009). </w:t>
      </w:r>
      <w:r w:rsidRPr="00D50E01">
        <w:rPr>
          <w:i/>
          <w:iCs/>
          <w:color w:val="333333"/>
          <w:lang w:val="tr-TR"/>
        </w:rPr>
        <w:t>Language Contact</w:t>
      </w:r>
      <w:r w:rsidRPr="00D50E01">
        <w:rPr>
          <w:color w:val="333333"/>
          <w:lang w:val="tr-TR"/>
        </w:rPr>
        <w:t>. Cambridge Textbooks in Linguistics.</w:t>
      </w:r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proofErr w:type="spellStart"/>
      <w:r>
        <w:rPr>
          <w:color w:val="333333"/>
          <w:lang w:val="en-US"/>
        </w:rPr>
        <w:t>Møller</w:t>
      </w:r>
      <w:proofErr w:type="spellEnd"/>
      <w:r>
        <w:rPr>
          <w:color w:val="333333"/>
          <w:lang w:val="en-US"/>
        </w:rPr>
        <w:t>, Janus (2009).</w:t>
      </w:r>
      <w:r w:rsidRPr="0040385E">
        <w:rPr>
          <w:color w:val="333333"/>
          <w:lang w:val="en-US"/>
        </w:rPr>
        <w:t xml:space="preserve"> </w:t>
      </w:r>
      <w:proofErr w:type="gramStart"/>
      <w:r w:rsidRPr="0040385E">
        <w:rPr>
          <w:i/>
          <w:color w:val="333333"/>
          <w:lang w:val="en-US"/>
        </w:rPr>
        <w:t>Poly-lingual interaction across childhood, youth and adulthood</w:t>
      </w:r>
      <w:r w:rsidRPr="0040385E">
        <w:rPr>
          <w:color w:val="333333"/>
          <w:lang w:val="en-US"/>
        </w:rPr>
        <w:t>.</w:t>
      </w:r>
      <w:proofErr w:type="gramEnd"/>
      <w:r w:rsidRPr="0040385E">
        <w:rPr>
          <w:color w:val="333333"/>
          <w:lang w:val="en-US"/>
        </w:rPr>
        <w:t xml:space="preserve"> </w:t>
      </w:r>
      <w:r w:rsidRPr="00D50E01">
        <w:rPr>
          <w:color w:val="333333"/>
        </w:rPr>
        <w:t xml:space="preserve">University </w:t>
      </w:r>
      <w:proofErr w:type="spellStart"/>
      <w:r w:rsidRPr="00D50E01">
        <w:rPr>
          <w:color w:val="333333"/>
        </w:rPr>
        <w:t>of</w:t>
      </w:r>
      <w:proofErr w:type="spellEnd"/>
      <w:r w:rsidRPr="00D50E01">
        <w:rPr>
          <w:color w:val="333333"/>
        </w:rPr>
        <w:t xml:space="preserve"> </w:t>
      </w:r>
      <w:proofErr w:type="spellStart"/>
      <w:r w:rsidRPr="00D50E01">
        <w:rPr>
          <w:color w:val="333333"/>
        </w:rPr>
        <w:t>Copenhagen</w:t>
      </w:r>
      <w:proofErr w:type="spellEnd"/>
      <w:r w:rsidRPr="00D50E01">
        <w:rPr>
          <w:color w:val="333333"/>
        </w:rPr>
        <w:t>.</w:t>
      </w:r>
    </w:p>
    <w:p w:rsidR="00D50E01" w:rsidRPr="00242036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</w:rPr>
      </w:pPr>
      <w:r w:rsidRPr="00D50E01">
        <w:rPr>
          <w:color w:val="333333"/>
          <w:lang w:val="tr-TR"/>
        </w:rPr>
        <w:t>Özdil</w:t>
      </w:r>
      <w:r w:rsidR="00833C7B">
        <w:rPr>
          <w:color w:val="333333"/>
          <w:lang w:val="tr-TR"/>
        </w:rPr>
        <w:t>, Erkan</w:t>
      </w:r>
      <w:r w:rsidRPr="00D50E01">
        <w:rPr>
          <w:color w:val="333333"/>
          <w:lang w:val="tr-TR"/>
        </w:rPr>
        <w:t xml:space="preserve"> (2010). </w:t>
      </w:r>
      <w:r w:rsidRPr="00D50E01">
        <w:rPr>
          <w:i/>
          <w:iCs/>
          <w:color w:val="333333"/>
          <w:lang w:val="tr-TR"/>
        </w:rPr>
        <w:t>Codeswitching im zweisprachigen Handeln</w:t>
      </w:r>
      <w:r w:rsidR="00833C7B">
        <w:rPr>
          <w:color w:val="333333"/>
          <w:lang w:val="tr-TR"/>
        </w:rPr>
        <w:t>. Münster</w:t>
      </w:r>
      <w:r w:rsidRPr="00D50E01">
        <w:rPr>
          <w:color w:val="333333"/>
          <w:lang w:val="tr-TR"/>
        </w:rPr>
        <w:t>: Waxmann.</w:t>
      </w:r>
    </w:p>
    <w:p w:rsidR="00D50E01" w:rsidRPr="00C77CDB" w:rsidRDefault="00833C7B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proofErr w:type="spellStart"/>
      <w:r>
        <w:rPr>
          <w:color w:val="333333"/>
          <w:lang w:val="en-US"/>
        </w:rPr>
        <w:t>Rampton</w:t>
      </w:r>
      <w:proofErr w:type="spellEnd"/>
      <w:r>
        <w:rPr>
          <w:color w:val="333333"/>
          <w:lang w:val="en-US"/>
        </w:rPr>
        <w:t>, Ben</w:t>
      </w:r>
      <w:r w:rsidR="00D50E01">
        <w:rPr>
          <w:color w:val="333333"/>
          <w:lang w:val="en-US"/>
        </w:rPr>
        <w:t xml:space="preserve"> (1995). </w:t>
      </w:r>
      <w:proofErr w:type="gramStart"/>
      <w:r w:rsidR="00D50E01" w:rsidRPr="0040385E">
        <w:rPr>
          <w:i/>
          <w:color w:val="333333"/>
          <w:lang w:val="en-US"/>
        </w:rPr>
        <w:t>Crossing.</w:t>
      </w:r>
      <w:proofErr w:type="gramEnd"/>
      <w:r w:rsidR="00D50E01" w:rsidRPr="0040385E">
        <w:rPr>
          <w:i/>
          <w:color w:val="333333"/>
          <w:lang w:val="en-US"/>
        </w:rPr>
        <w:t xml:space="preserve"> Language and Ethnicity </w:t>
      </w:r>
      <w:proofErr w:type="gramStart"/>
      <w:r w:rsidR="00D50E01" w:rsidRPr="0040385E">
        <w:rPr>
          <w:i/>
          <w:color w:val="333333"/>
          <w:lang w:val="en-US"/>
        </w:rPr>
        <w:t>Among</w:t>
      </w:r>
      <w:proofErr w:type="gramEnd"/>
      <w:r w:rsidR="00D50E01" w:rsidRPr="0040385E">
        <w:rPr>
          <w:i/>
          <w:color w:val="333333"/>
          <w:lang w:val="en-US"/>
        </w:rPr>
        <w:t xml:space="preserve"> Adolescents</w:t>
      </w:r>
      <w:r w:rsidR="00D50E01" w:rsidRPr="0040385E">
        <w:rPr>
          <w:color w:val="333333"/>
          <w:lang w:val="en-US"/>
        </w:rPr>
        <w:t xml:space="preserve">. </w:t>
      </w:r>
      <w:proofErr w:type="gramStart"/>
      <w:r w:rsidR="00D50E01" w:rsidRPr="0040385E">
        <w:rPr>
          <w:color w:val="333333"/>
          <w:lang w:val="en-US"/>
        </w:rPr>
        <w:t>Longman.</w:t>
      </w:r>
      <w:proofErr w:type="gramEnd"/>
    </w:p>
    <w:p w:rsidR="00D50E01" w:rsidRP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Rehbein/Herkenrath/Karakoç (2009). "Turkish in Europe – On contact-induced language change of an immigrant language in the multilingual landscape of Europe." In: </w:t>
      </w:r>
      <w:r w:rsidRPr="00D50E01">
        <w:rPr>
          <w:i/>
          <w:iCs/>
          <w:color w:val="333333"/>
          <w:lang w:val="tr-TR"/>
        </w:rPr>
        <w:t>Language Typology and Universals</w:t>
      </w:r>
      <w:r w:rsidRPr="00D50E01">
        <w:rPr>
          <w:color w:val="333333"/>
          <w:lang w:val="tr-TR"/>
        </w:rPr>
        <w:t xml:space="preserve"> (2009), 171-204.</w:t>
      </w:r>
    </w:p>
    <w:p w:rsidR="00D50E01" w:rsidRPr="00C77CDB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Rehbein/Karakoç (2004). "On contact-induced language change of Turkish Aspects: Languaging in Bilingual Discourse. In: Dabelsteen/Jørgensen (Eds.) (2004). </w:t>
      </w:r>
      <w:r w:rsidRPr="00D50E01">
        <w:rPr>
          <w:i/>
          <w:iCs/>
          <w:color w:val="333333"/>
          <w:lang w:val="tr-TR"/>
        </w:rPr>
        <w:t xml:space="preserve">Languaging and Language Practices. </w:t>
      </w:r>
      <w:r w:rsidRPr="00D50E01">
        <w:rPr>
          <w:color w:val="333333"/>
          <w:lang w:val="tr-TR"/>
        </w:rPr>
        <w:t>Copenhagen Studies in Bilingualism.</w:t>
      </w:r>
    </w:p>
    <w:p w:rsid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  <w:r w:rsidRPr="00D50E01">
        <w:rPr>
          <w:color w:val="333333"/>
          <w:lang w:val="tr-TR"/>
        </w:rPr>
        <w:t xml:space="preserve">Soares da Silva (2013). </w:t>
      </w:r>
      <w:r w:rsidRPr="00D50E01">
        <w:rPr>
          <w:i/>
          <w:iCs/>
          <w:color w:val="333333"/>
          <w:lang w:val="tr-TR"/>
        </w:rPr>
        <w:t>Pluricentricity</w:t>
      </w:r>
      <w:r w:rsidRPr="00D50E01">
        <w:rPr>
          <w:color w:val="333333"/>
          <w:lang w:val="tr-TR"/>
        </w:rPr>
        <w:t xml:space="preserve">. Mouton de Gruyter. </w:t>
      </w:r>
    </w:p>
    <w:p w:rsidR="00D50E01" w:rsidRDefault="00D50E01" w:rsidP="00D50E01">
      <w:pPr>
        <w:pStyle w:val="NormalWeb"/>
        <w:shd w:val="clear" w:color="auto" w:fill="FFFFFF"/>
        <w:contextualSpacing/>
        <w:jc w:val="both"/>
        <w:rPr>
          <w:color w:val="333333"/>
          <w:lang w:val="en-US"/>
        </w:rPr>
      </w:pPr>
    </w:p>
    <w:p w:rsidR="00ED44AB" w:rsidRPr="0040385E" w:rsidRDefault="00ED44AB" w:rsidP="00D50E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44AB" w:rsidRPr="0040385E" w:rsidSect="00114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DB5"/>
    <w:multiLevelType w:val="multilevel"/>
    <w:tmpl w:val="376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871BC"/>
    <w:multiLevelType w:val="hybridMultilevel"/>
    <w:tmpl w:val="17C664D6"/>
    <w:lvl w:ilvl="0" w:tplc="FCFABD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04B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4B9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28DB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0FB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CBF7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409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24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38BF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ED44AB"/>
    <w:rsid w:val="000920CA"/>
    <w:rsid w:val="000A0E39"/>
    <w:rsid w:val="000B2270"/>
    <w:rsid w:val="00105DDD"/>
    <w:rsid w:val="00114F68"/>
    <w:rsid w:val="001B2E6B"/>
    <w:rsid w:val="00242036"/>
    <w:rsid w:val="00242531"/>
    <w:rsid w:val="002D68DE"/>
    <w:rsid w:val="00382F85"/>
    <w:rsid w:val="0039488A"/>
    <w:rsid w:val="0040385E"/>
    <w:rsid w:val="004634B7"/>
    <w:rsid w:val="004E7C52"/>
    <w:rsid w:val="00634CF6"/>
    <w:rsid w:val="00647D30"/>
    <w:rsid w:val="006649C3"/>
    <w:rsid w:val="00667E02"/>
    <w:rsid w:val="006B3AC2"/>
    <w:rsid w:val="006C247D"/>
    <w:rsid w:val="006C39FF"/>
    <w:rsid w:val="00714579"/>
    <w:rsid w:val="00730C71"/>
    <w:rsid w:val="00765410"/>
    <w:rsid w:val="007950F4"/>
    <w:rsid w:val="00831C08"/>
    <w:rsid w:val="00833C7B"/>
    <w:rsid w:val="00952AAC"/>
    <w:rsid w:val="009B30B1"/>
    <w:rsid w:val="00A323CA"/>
    <w:rsid w:val="00A532D6"/>
    <w:rsid w:val="00A83FF2"/>
    <w:rsid w:val="00B07D8D"/>
    <w:rsid w:val="00B431C9"/>
    <w:rsid w:val="00B66FEE"/>
    <w:rsid w:val="00B940A7"/>
    <w:rsid w:val="00C45E41"/>
    <w:rsid w:val="00CF7AC5"/>
    <w:rsid w:val="00D50E01"/>
    <w:rsid w:val="00D521A7"/>
    <w:rsid w:val="00D8470D"/>
    <w:rsid w:val="00E574B3"/>
    <w:rsid w:val="00E85A2F"/>
    <w:rsid w:val="00EB6795"/>
    <w:rsid w:val="00EB7893"/>
    <w:rsid w:val="00ED44AB"/>
    <w:rsid w:val="00EF6400"/>
    <w:rsid w:val="00F70939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68"/>
  </w:style>
  <w:style w:type="paragraph" w:styleId="Balk3">
    <w:name w:val="heading 3"/>
    <w:basedOn w:val="Normal"/>
    <w:link w:val="Balk3Char"/>
    <w:uiPriority w:val="9"/>
    <w:qFormat/>
    <w:rsid w:val="0079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ED44AB"/>
  </w:style>
  <w:style w:type="character" w:customStyle="1" w:styleId="Balk3Char">
    <w:name w:val="Başlık 3 Char"/>
    <w:basedOn w:val="VarsaylanParagrafYazTipi"/>
    <w:link w:val="Balk3"/>
    <w:uiPriority w:val="9"/>
    <w:rsid w:val="007950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Normal"/>
    <w:rsid w:val="0079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pr">
    <w:name w:val="Hyperlink"/>
    <w:basedOn w:val="VarsaylanParagrafYazTipi"/>
    <w:uiPriority w:val="99"/>
    <w:semiHidden/>
    <w:unhideWhenUsed/>
    <w:rsid w:val="007950F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950F4"/>
  </w:style>
  <w:style w:type="paragraph" w:styleId="NormalWeb">
    <w:name w:val="Normal (Web)"/>
    <w:basedOn w:val="Normal"/>
    <w:uiPriority w:val="99"/>
    <w:unhideWhenUsed/>
    <w:rsid w:val="0079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Vurgu">
    <w:name w:val="Emphasis"/>
    <w:basedOn w:val="VarsaylanParagrafYazTipi"/>
    <w:uiPriority w:val="20"/>
    <w:qFormat/>
    <w:rsid w:val="00795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4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8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B45C-3448-45C0-A2C0-E04126F2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 Nihal</dc:creator>
  <cp:lastModifiedBy>USER</cp:lastModifiedBy>
  <cp:revision>2</cp:revision>
  <dcterms:created xsi:type="dcterms:W3CDTF">2016-06-30T11:55:00Z</dcterms:created>
  <dcterms:modified xsi:type="dcterms:W3CDTF">2016-06-30T11:55:00Z</dcterms:modified>
</cp:coreProperties>
</file>