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513"/>
        </w:tabs>
        <w:jc w:val="center"/>
        <w:rPr/>
      </w:pPr>
      <w:r w:rsidDel="00000000" w:rsidR="00000000" w:rsidRPr="00000000">
        <w:rPr>
          <w:b w:val="1"/>
          <w:rtl w:val="0"/>
        </w:rPr>
        <w:t xml:space="preserve">AKDENİZ ÜNİVERSİTESİ</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-290188</wp:posOffset>
            </wp:positionH>
            <wp:positionV relativeFrom="paragraph">
              <wp:posOffset>9</wp:posOffset>
            </wp:positionV>
            <wp:extent cx="739136" cy="739136"/>
            <wp:effectExtent b="0" l="0" r="0" t="0"/>
            <wp:wrapSquare wrapText="bothSides" distB="0" distT="0" distL="114300" distR="114300"/>
            <wp:docPr descr="Chart, sunburst chart&#10;&#10;Description automatically generated" id="6" name="image1.png"/>
            <a:graphic>
              <a:graphicData uri="http://schemas.openxmlformats.org/drawingml/2006/picture">
                <pic:pic>
                  <pic:nvPicPr>
                    <pic:cNvPr descr="Chart, sunburst chart&#10;&#10;Description automatically generated" id="0" name="image1.png"/>
                    <pic:cNvPicPr preferRelativeResize="0"/>
                  </pic:nvPicPr>
                  <pic:blipFill>
                    <a:blip r:embed="rId7"/>
                    <a:srcRect b="0" l="0" r="0" t="0"/>
                    <a:stretch>
                      <a:fillRect/>
                    </a:stretch>
                  </pic:blipFill>
                  <pic:spPr>
                    <a:xfrm>
                      <a:off x="0" y="0"/>
                      <a:ext cx="739136" cy="739136"/>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b w:val="1"/>
          <w:color w:val="000000"/>
          <w:rtl w:val="0"/>
        </w:rPr>
        <w:t xml:space="preserve">KALİTE </w:t>
      </w:r>
      <w:r w:rsidDel="00000000" w:rsidR="00000000" w:rsidRPr="00000000">
        <w:rPr>
          <w:b w:val="1"/>
          <w:rtl w:val="0"/>
        </w:rPr>
        <w:t xml:space="preserve">KOMİSYONU</w:t>
      </w:r>
    </w:p>
    <w:p w:rsidR="00000000" w:rsidDel="00000000" w:rsidP="00000000" w:rsidRDefault="00000000" w:rsidRPr="00000000" w14:paraId="00000003">
      <w:pPr>
        <w:jc w:val="center"/>
        <w:rPr>
          <w:b w:val="1"/>
        </w:rPr>
      </w:pPr>
      <w:r w:rsidDel="00000000" w:rsidR="00000000" w:rsidRPr="00000000">
        <w:rPr>
          <w:b w:val="1"/>
          <w:rtl w:val="0"/>
        </w:rPr>
        <w:t xml:space="preserve">TOPLANTI TUTANAĞI</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tbl>
      <w:tblPr>
        <w:tblStyle w:val="Table1"/>
        <w:tblW w:w="10309.0" w:type="dxa"/>
        <w:jc w:val="left"/>
        <w:tblInd w:w="-470.0" w:type="dxa"/>
        <w:tblLayout w:type="fixed"/>
        <w:tblLook w:val="0400"/>
      </w:tblPr>
      <w:tblGrid>
        <w:gridCol w:w="3584"/>
        <w:gridCol w:w="3616"/>
        <w:gridCol w:w="3109"/>
        <w:tblGridChange w:id="0">
          <w:tblGrid>
            <w:gridCol w:w="3584"/>
            <w:gridCol w:w="3616"/>
            <w:gridCol w:w="3109"/>
          </w:tblGrid>
        </w:tblGridChange>
      </w:tblGrid>
      <w:tr>
        <w:trPr>
          <w:cantSplit w:val="0"/>
          <w:trHeight w:val="37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tcPr>
          <w:p w:rsidR="00000000" w:rsidDel="00000000" w:rsidP="00000000" w:rsidRDefault="00000000" w:rsidRPr="00000000" w14:paraId="00000006">
            <w:pPr>
              <w:jc w:val="center"/>
              <w:rPr>
                <w:b w:val="1"/>
              </w:rPr>
            </w:pPr>
            <w:r w:rsidDel="00000000" w:rsidR="00000000" w:rsidRPr="00000000">
              <w:rPr>
                <w:b w:val="1"/>
                <w:rtl w:val="0"/>
              </w:rPr>
              <w:t xml:space="preserve">Toplantı Sayısı</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tcPr>
          <w:p w:rsidR="00000000" w:rsidDel="00000000" w:rsidP="00000000" w:rsidRDefault="00000000" w:rsidRPr="00000000" w14:paraId="00000007">
            <w:pPr>
              <w:jc w:val="center"/>
              <w:rPr>
                <w:b w:val="1"/>
              </w:rPr>
            </w:pPr>
            <w:r w:rsidDel="00000000" w:rsidR="00000000" w:rsidRPr="00000000">
              <w:rPr>
                <w:b w:val="1"/>
                <w:rtl w:val="0"/>
              </w:rPr>
              <w:t xml:space="preserve">Karar Sayısı</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tcPr>
          <w:p w:rsidR="00000000" w:rsidDel="00000000" w:rsidP="00000000" w:rsidRDefault="00000000" w:rsidRPr="00000000" w14:paraId="00000008">
            <w:pPr>
              <w:jc w:val="center"/>
              <w:rPr>
                <w:b w:val="1"/>
              </w:rPr>
            </w:pPr>
            <w:r w:rsidDel="00000000" w:rsidR="00000000" w:rsidRPr="00000000">
              <w:rPr>
                <w:b w:val="1"/>
                <w:rtl w:val="0"/>
              </w:rPr>
              <w:t xml:space="preserve">Karar Tarihi</w:t>
            </w:r>
          </w:p>
        </w:tc>
      </w:tr>
      <w:tr>
        <w:trPr>
          <w:cantSplit w:val="0"/>
          <w:trHeight w:val="21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tcPr>
          <w:p w:rsidR="00000000" w:rsidDel="00000000" w:rsidP="00000000" w:rsidRDefault="00000000" w:rsidRPr="00000000" w14:paraId="00000009">
            <w:pPr>
              <w:jc w:val="center"/>
              <w:rPr/>
            </w:pPr>
            <w:r w:rsidDel="00000000" w:rsidR="00000000" w:rsidRPr="00000000">
              <w:rPr>
                <w:rtl w:val="0"/>
              </w:rPr>
              <w:t xml:space="preserve">70</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tcPr>
          <w:p w:rsidR="00000000" w:rsidDel="00000000" w:rsidP="00000000" w:rsidRDefault="00000000" w:rsidRPr="00000000" w14:paraId="0000000A">
            <w:pPr>
              <w:tabs>
                <w:tab w:val="center" w:leader="none" w:pos="1738"/>
                <w:tab w:val="left" w:leader="none" w:pos="2472"/>
              </w:tabs>
              <w:jc w:val="center"/>
              <w:rPr/>
            </w:pPr>
            <w:r w:rsidDel="00000000" w:rsidR="00000000" w:rsidRPr="00000000">
              <w:rPr>
                <w:rtl w:val="0"/>
              </w:rPr>
              <w:t xml:space="preserve">2023-</w:t>
            </w:r>
          </w:p>
        </w:tc>
        <w:tc>
          <w:tcPr>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tcPr>
          <w:p w:rsidR="00000000" w:rsidDel="00000000" w:rsidP="00000000" w:rsidRDefault="00000000" w:rsidRPr="00000000" w14:paraId="0000000B">
            <w:pPr>
              <w:jc w:val="center"/>
              <w:rPr/>
            </w:pPr>
            <w:r w:rsidDel="00000000" w:rsidR="00000000" w:rsidRPr="00000000">
              <w:rPr>
                <w:rtl w:val="0"/>
              </w:rPr>
              <w:t xml:space="preserve">07.11.2023</w:t>
            </w:r>
          </w:p>
        </w:tc>
      </w:tr>
      <w:tr>
        <w:trPr>
          <w:cantSplit w:val="0"/>
          <w:trHeight w:val="415"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70.0" w:type="dxa"/>
              <w:bottom w:w="0.0" w:type="dxa"/>
              <w:right w:w="70.0" w:type="dxa"/>
            </w:tcMar>
          </w:tcPr>
          <w:p w:rsidR="00000000" w:rsidDel="00000000" w:rsidP="00000000" w:rsidRDefault="00000000" w:rsidRPr="00000000" w14:paraId="0000000C">
            <w:pPr>
              <w:jc w:val="center"/>
              <w:rPr>
                <w:b w:val="1"/>
              </w:rPr>
            </w:pPr>
            <w:r w:rsidDel="00000000" w:rsidR="00000000" w:rsidRPr="00000000">
              <w:rPr>
                <w:b w:val="1"/>
                <w:rtl w:val="0"/>
              </w:rPr>
              <w:t xml:space="preserve">GÜNDEM KONUSU</w:t>
            </w:r>
          </w:p>
        </w:tc>
      </w:tr>
      <w:tr>
        <w:trPr>
          <w:cantSplit w:val="0"/>
          <w:trHeight w:val="71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tcPr>
          <w:p w:rsidR="00000000" w:rsidDel="00000000" w:rsidP="00000000" w:rsidRDefault="00000000" w:rsidRPr="00000000" w14:paraId="0000000F">
            <w:pPr>
              <w:numPr>
                <w:ilvl w:val="0"/>
                <w:numId w:val="2"/>
              </w:numPr>
              <w:spacing w:after="240" w:before="240" w:line="276" w:lineRule="auto"/>
              <w:ind w:left="720" w:hanging="360"/>
              <w:rPr/>
            </w:pPr>
            <w:r w:rsidDel="00000000" w:rsidR="00000000" w:rsidRPr="00000000">
              <w:rPr>
                <w:rtl w:val="0"/>
              </w:rPr>
              <w:t xml:space="preserve">YÖKAK Yüz yüze ziyareti sonrası 15 gün yanıtının görüşülmesi</w:t>
            </w:r>
          </w:p>
        </w:tc>
      </w:tr>
      <w:tr>
        <w:trPr>
          <w:cantSplit w:val="0"/>
          <w:trHeight w:val="375"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70.0" w:type="dxa"/>
              <w:bottom w:w="0.0" w:type="dxa"/>
              <w:right w:w="70.0" w:type="dxa"/>
            </w:tcMar>
          </w:tcPr>
          <w:p w:rsidR="00000000" w:rsidDel="00000000" w:rsidP="00000000" w:rsidRDefault="00000000" w:rsidRPr="00000000" w14:paraId="00000012">
            <w:pPr>
              <w:jc w:val="center"/>
              <w:rPr>
                <w:b w:val="1"/>
              </w:rPr>
            </w:pPr>
            <w:r w:rsidDel="00000000" w:rsidR="00000000" w:rsidRPr="00000000">
              <w:rPr>
                <w:b w:val="1"/>
                <w:rtl w:val="0"/>
              </w:rPr>
              <w:t xml:space="preserve">TOPLANTI İÇERİĞİ</w:t>
            </w:r>
          </w:p>
        </w:tc>
      </w:tr>
      <w:tr>
        <w:trPr>
          <w:cantSplit w:val="0"/>
          <w:trHeight w:val="1127"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tcPr>
          <w:p w:rsidR="00000000" w:rsidDel="00000000" w:rsidP="00000000" w:rsidRDefault="00000000" w:rsidRPr="00000000" w14:paraId="00000015">
            <w:pPr>
              <w:numPr>
                <w:ilvl w:val="0"/>
                <w:numId w:val="2"/>
              </w:numPr>
              <w:spacing w:after="0" w:before="0" w:line="240" w:lineRule="auto"/>
              <w:ind w:left="720" w:hanging="360"/>
              <w:rPr/>
            </w:pPr>
            <w:r w:rsidDel="00000000" w:rsidR="00000000" w:rsidRPr="00000000">
              <w:rPr>
                <w:rtl w:val="0"/>
              </w:rPr>
              <w:t xml:space="preserve">YÖKAK’tan gelen TASLAK KGBR/KAR okundu, Geliştirmeye Açık Yönler ve Öneriler değerlendirilmiştir.</w:t>
            </w:r>
          </w:p>
          <w:p w:rsidR="00000000" w:rsidDel="00000000" w:rsidP="00000000" w:rsidRDefault="00000000" w:rsidRPr="00000000" w14:paraId="00000016">
            <w:pPr>
              <w:numPr>
                <w:ilvl w:val="0"/>
                <w:numId w:val="2"/>
              </w:numPr>
              <w:spacing w:after="0" w:before="0" w:line="240" w:lineRule="auto"/>
              <w:ind w:left="720" w:hanging="360"/>
              <w:rPr>
                <w:u w:val="none"/>
              </w:rPr>
            </w:pPr>
            <w:r w:rsidDel="00000000" w:rsidR="00000000" w:rsidRPr="00000000">
              <w:rPr>
                <w:rtl w:val="0"/>
              </w:rPr>
              <w:t xml:space="preserve">Liderlik ve Kalite grubunda iki madde olduğu saptanmıştır:</w:t>
            </w:r>
          </w:p>
          <w:p w:rsidR="00000000" w:rsidDel="00000000" w:rsidP="00000000" w:rsidRDefault="00000000" w:rsidRPr="00000000" w14:paraId="00000017">
            <w:pPr>
              <w:spacing w:after="0" w:before="0" w:line="240" w:lineRule="auto"/>
              <w:ind w:left="0" w:firstLine="0"/>
              <w:rPr/>
            </w:pPr>
            <w:r w:rsidDel="00000000" w:rsidR="00000000" w:rsidRPr="00000000">
              <w:rPr>
                <w:rtl w:val="0"/>
              </w:rPr>
              <w:t xml:space="preserve">1. İdari yapılanma ve süreç yönetimine ilişkin tanımlı süreçlerin geliştirilmesi ve sistematikleştirilmesi, </w:t>
            </w:r>
          </w:p>
          <w:p w:rsidR="00000000" w:rsidDel="00000000" w:rsidP="00000000" w:rsidRDefault="00000000" w:rsidRPr="00000000" w14:paraId="00000018">
            <w:pPr>
              <w:spacing w:after="0" w:before="0" w:line="240" w:lineRule="auto"/>
              <w:ind w:left="0" w:firstLine="0"/>
              <w:rPr/>
            </w:pPr>
            <w:r w:rsidDel="00000000" w:rsidR="00000000" w:rsidRPr="00000000">
              <w:rPr>
                <w:rtl w:val="0"/>
              </w:rPr>
              <w:t xml:space="preserve">2. İdari personele yönelik performans değerlendirmesi ve teşvik mekanizması uygulanması.   </w:t>
            </w:r>
          </w:p>
          <w:p w:rsidR="00000000" w:rsidDel="00000000" w:rsidP="00000000" w:rsidRDefault="00000000" w:rsidRPr="00000000" w14:paraId="00000019">
            <w:pPr>
              <w:numPr>
                <w:ilvl w:val="0"/>
                <w:numId w:val="1"/>
              </w:numPr>
              <w:spacing w:after="0" w:before="0" w:line="240" w:lineRule="auto"/>
              <w:ind w:left="720" w:hanging="360"/>
              <w:rPr>
                <w:u w:val="none"/>
              </w:rPr>
            </w:pPr>
            <w:r w:rsidDel="00000000" w:rsidR="00000000" w:rsidRPr="00000000">
              <w:rPr>
                <w:rtl w:val="0"/>
              </w:rPr>
              <w:t xml:space="preserve">Eğitim ve Öğretim Grubunda bir madde olduğu saptanmıştır:</w:t>
            </w:r>
          </w:p>
          <w:p w:rsidR="00000000" w:rsidDel="00000000" w:rsidP="00000000" w:rsidRDefault="00000000" w:rsidRPr="00000000" w14:paraId="0000001A">
            <w:pPr>
              <w:spacing w:after="0" w:before="0" w:line="240" w:lineRule="auto"/>
              <w:ind w:left="0" w:firstLine="0"/>
              <w:rPr/>
            </w:pPr>
            <w:r w:rsidDel="00000000" w:rsidR="00000000" w:rsidRPr="00000000">
              <w:rPr>
                <w:rtl w:val="0"/>
              </w:rPr>
              <w:t xml:space="preserve">Kurumda Yan Dal ve Çift Anadal uygulamalarının izlenmesi ve iyileştirilmesi için sistematik bir mekanizmasının bulunmaması gelişmeye açık bir yön olarak değerlendirilmiştir. </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Liderlik ve Kalite grubundaki 1. maddeye yanıt yazılmasına karar verilmiştir. Kalite süreçlerinin tamamlamış olan Tıp Fakültesi, Hemşirelik Fakültesi ve Diş Hekimliği gibi Fakültelerinin idari süreçlerinin sistematikleşmesi ile ilgili süreçlerinin örneklendirilmesi, yerinde ziyaret sonrası birimler ve Rektörlük düzeyinde yapılanların örneklendirilmesi, Rektörlük Kalite birimi ve Personel Daire  Başkanlığında yapılan eğitimlerin yanıta yazılmasına kadar verilmiştir. </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TASLAK KGBR/KAR metin içinde belirtilen öneriler işaretlenmiş ve grup başkanlarının ilgili önerilere yanıt verecek şekilde hazırlık yapmasına karar verilmiştir.</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EÖKK Yönetim Kurulunun güncellenmesi ve 2023-2024 Eğitim-Öğretim Yılı ilk toplantısının planlanmasına karar verilmiştir. </w:t>
            </w:r>
          </w:p>
          <w:p w:rsidR="00000000" w:rsidDel="00000000" w:rsidP="00000000" w:rsidRDefault="00000000" w:rsidRPr="00000000" w14:paraId="0000001F">
            <w:pPr>
              <w:ind w:left="720" w:firstLine="0"/>
              <w:rPr/>
            </w:pPr>
            <w:r w:rsidDel="00000000" w:rsidR="00000000" w:rsidRPr="00000000">
              <w:rPr>
                <w:rtl w:val="0"/>
              </w:rPr>
            </w:r>
          </w:p>
        </w:tc>
      </w:tr>
      <w:tr>
        <w:trPr>
          <w:cantSplit w:val="0"/>
          <w:trHeight w:val="429" w:hRule="atLeast"/>
          <w:tblHeader w:val="0"/>
        </w:trPr>
        <w:tc>
          <w:tcPr>
            <w:gridSpan w:val="3"/>
            <w:tcBorders>
              <w:top w:color="000000" w:space="0" w:sz="4" w:val="single"/>
              <w:left w:color="000000" w:space="0" w:sz="4" w:val="single"/>
              <w:bottom w:color="000000" w:space="0" w:sz="4" w:val="single"/>
              <w:right w:color="000000" w:space="0" w:sz="4" w:val="single"/>
            </w:tcBorders>
            <w:shd w:fill="d9d9d9" w:val="clear"/>
            <w:tcMar>
              <w:top w:w="0.0" w:type="dxa"/>
              <w:left w:w="70.0" w:type="dxa"/>
              <w:bottom w:w="0.0" w:type="dxa"/>
              <w:right w:w="70.0" w:type="dxa"/>
            </w:tcMar>
          </w:tcPr>
          <w:p w:rsidR="00000000" w:rsidDel="00000000" w:rsidP="00000000" w:rsidRDefault="00000000" w:rsidRPr="00000000" w14:paraId="00000022">
            <w:pPr>
              <w:jc w:val="center"/>
              <w:rPr>
                <w:b w:val="1"/>
              </w:rPr>
            </w:pPr>
            <w:r w:rsidDel="00000000" w:rsidR="00000000" w:rsidRPr="00000000">
              <w:rPr>
                <w:b w:val="1"/>
                <w:rtl w:val="0"/>
              </w:rPr>
              <w:t xml:space="preserve">KARARLAR</w:t>
            </w:r>
          </w:p>
        </w:tc>
      </w:tr>
      <w:tr>
        <w:trPr>
          <w:cantSplit w:val="0"/>
          <w:trHeight w:val="1500"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0.0" w:type="dxa"/>
              <w:left w:w="70.0" w:type="dxa"/>
              <w:bottom w:w="0.0" w:type="dxa"/>
              <w:right w:w="70.0" w:type="dxa"/>
            </w:tcMar>
          </w:tcPr>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TASLAK KGBR/KAR raporunda Liderlik ve Kalite grubunda 1. maddeye “1. İdari yapılanma ve süreç yönetimine ilişkin tanımlı süreçlerin geliştirilmesi ve sistematikleştirilmesi” yanıt yazılmasına, </w:t>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YÖKAK kapsamında planlanmış uygulamaların sonraki toplantıda kapsamlı olarak ele alınmasına karar verilmiştir.</w:t>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highlight w:val="white"/>
        </w:rPr>
        <w:sectPr>
          <w:pgSz w:h="16838" w:w="11906" w:orient="portrait"/>
          <w:pgMar w:bottom="568" w:top="851" w:left="1417" w:right="1417" w:header="708" w:footer="708"/>
          <w:pgNumType w:start="1"/>
        </w:sectPr>
      </w:pPr>
      <w:r w:rsidDel="00000000" w:rsidR="00000000" w:rsidRPr="00000000">
        <w:rPr>
          <w:b w:val="1"/>
          <w:highlight w:val="white"/>
          <w:rtl w:val="0"/>
        </w:rPr>
        <w:t xml:space="preserve">Katılımcılar</w:t>
      </w:r>
    </w:p>
    <w:p w:rsidR="00000000" w:rsidDel="00000000" w:rsidP="00000000" w:rsidRDefault="00000000" w:rsidRPr="00000000" w14:paraId="0000002B">
      <w:pPr>
        <w:ind w:left="-425.19685039370086" w:right="-359.4999999999996" w:firstLine="0"/>
        <w:jc w:val="both"/>
        <w:rPr/>
        <w:sectPr>
          <w:type w:val="continuous"/>
          <w:pgSz w:h="16838" w:w="11906" w:orient="portrait"/>
          <w:pgMar w:bottom="568" w:top="851" w:left="1417" w:right="1417" w:header="708" w:footer="708"/>
          <w:cols w:equalWidth="0" w:num="2">
            <w:col w:space="708" w:w="4181.999999999999"/>
            <w:col w:space="0" w:w="4181.999999999999"/>
          </w:cols>
        </w:sectPr>
      </w:pPr>
      <w:r w:rsidDel="00000000" w:rsidR="00000000" w:rsidRPr="00000000">
        <w:rPr>
          <w:rtl w:val="0"/>
        </w:rPr>
        <w:t xml:space="preserve">Rektör Yardımcısı Prof. Dr. Ayşe Gülbin ARICI</w:t>
      </w:r>
    </w:p>
    <w:p w:rsidR="00000000" w:rsidDel="00000000" w:rsidP="00000000" w:rsidRDefault="00000000" w:rsidRPr="00000000" w14:paraId="0000002C">
      <w:pPr>
        <w:ind w:left="-425.19685039370086" w:firstLine="0"/>
        <w:rPr/>
      </w:pPr>
      <w:r w:rsidDel="00000000" w:rsidR="00000000" w:rsidRPr="00000000">
        <w:rPr>
          <w:rtl w:val="0"/>
        </w:rPr>
        <w:t xml:space="preserve">Prof. Dr. Erol GÜRPINAR</w:t>
      </w:r>
    </w:p>
    <w:p w:rsidR="00000000" w:rsidDel="00000000" w:rsidP="00000000" w:rsidRDefault="00000000" w:rsidRPr="00000000" w14:paraId="0000002D">
      <w:pPr>
        <w:ind w:left="-425.19685039370086" w:firstLine="0"/>
        <w:rPr/>
      </w:pPr>
      <w:r w:rsidDel="00000000" w:rsidR="00000000" w:rsidRPr="00000000">
        <w:rPr>
          <w:rtl w:val="0"/>
        </w:rPr>
        <w:t xml:space="preserve">Prof. Dr. Levent SARIKCIOĞLU</w:t>
      </w:r>
    </w:p>
    <w:p w:rsidR="00000000" w:rsidDel="00000000" w:rsidP="00000000" w:rsidRDefault="00000000" w:rsidRPr="00000000" w14:paraId="0000002E">
      <w:pPr>
        <w:ind w:left="-425.19685039370086" w:firstLine="0"/>
        <w:rPr/>
      </w:pPr>
      <w:r w:rsidDel="00000000" w:rsidR="00000000" w:rsidRPr="00000000">
        <w:rPr>
          <w:rtl w:val="0"/>
        </w:rPr>
        <w:t xml:space="preserve">Prof. Dr. Ahmet KÜÇÜKÇETİN</w:t>
      </w:r>
    </w:p>
    <w:p w:rsidR="00000000" w:rsidDel="00000000" w:rsidP="00000000" w:rsidRDefault="00000000" w:rsidRPr="00000000" w14:paraId="0000002F">
      <w:pPr>
        <w:ind w:left="-425.19685039370086" w:firstLine="0"/>
        <w:rPr/>
      </w:pPr>
      <w:r w:rsidDel="00000000" w:rsidR="00000000" w:rsidRPr="00000000">
        <w:rPr>
          <w:rtl w:val="0"/>
        </w:rPr>
        <w:t xml:space="preserve">Prof. Dr. Abdurrahman AKTOP</w:t>
      </w:r>
    </w:p>
    <w:p w:rsidR="00000000" w:rsidDel="00000000" w:rsidP="00000000" w:rsidRDefault="00000000" w:rsidRPr="00000000" w14:paraId="00000030">
      <w:pPr>
        <w:ind w:left="-425.19685039370086" w:firstLine="0"/>
        <w:rPr>
          <w:highlight w:val="white"/>
        </w:rPr>
      </w:pPr>
      <w:r w:rsidDel="00000000" w:rsidR="00000000" w:rsidRPr="00000000">
        <w:rPr>
          <w:highlight w:val="white"/>
          <w:rtl w:val="0"/>
        </w:rPr>
        <w:t xml:space="preserve">Prof. Dr. Yeşim ŞENOL</w:t>
      </w:r>
    </w:p>
    <w:p w:rsidR="00000000" w:rsidDel="00000000" w:rsidP="00000000" w:rsidRDefault="00000000" w:rsidRPr="00000000" w14:paraId="00000031">
      <w:pPr>
        <w:ind w:left="-425.19685039370086" w:firstLine="0"/>
        <w:rPr/>
      </w:pPr>
      <w:r w:rsidDel="00000000" w:rsidR="00000000" w:rsidRPr="00000000">
        <w:rPr>
          <w:rtl w:val="0"/>
        </w:rPr>
        <w:t xml:space="preserve">Doç. Dr. Tuba MELEKOĞLU</w:t>
      </w:r>
    </w:p>
    <w:p w:rsidR="00000000" w:rsidDel="00000000" w:rsidP="00000000" w:rsidRDefault="00000000" w:rsidRPr="00000000" w14:paraId="00000032">
      <w:pPr>
        <w:ind w:left="-425.19685039370086" w:firstLine="0"/>
        <w:rPr/>
      </w:pPr>
      <w:r w:rsidDel="00000000" w:rsidR="00000000" w:rsidRPr="00000000">
        <w:rPr>
          <w:rtl w:val="0"/>
        </w:rPr>
        <w:t xml:space="preserve">Doç. Dr. İlkay BOZ </w:t>
      </w:r>
    </w:p>
    <w:p w:rsidR="00000000" w:rsidDel="00000000" w:rsidP="00000000" w:rsidRDefault="00000000" w:rsidRPr="00000000" w14:paraId="00000033">
      <w:pPr>
        <w:ind w:left="-426" w:firstLine="0"/>
        <w:rPr/>
      </w:pPr>
      <w:r w:rsidDel="00000000" w:rsidR="00000000" w:rsidRPr="00000000">
        <w:rPr>
          <w:rtl w:val="0"/>
        </w:rPr>
      </w:r>
    </w:p>
    <w:p w:rsidR="00000000" w:rsidDel="00000000" w:rsidP="00000000" w:rsidRDefault="00000000" w:rsidRPr="00000000" w14:paraId="00000034">
      <w:pPr>
        <w:ind w:left="-426" w:firstLine="0"/>
        <w:rPr/>
      </w:pPr>
      <w:r w:rsidDel="00000000" w:rsidR="00000000" w:rsidRPr="00000000">
        <w:rPr>
          <w:rtl w:val="0"/>
        </w:rPr>
      </w:r>
    </w:p>
    <w:p w:rsidR="00000000" w:rsidDel="00000000" w:rsidP="00000000" w:rsidRDefault="00000000" w:rsidRPr="00000000" w14:paraId="00000035">
      <w:pPr>
        <w:ind w:left="-426" w:firstLine="0"/>
        <w:rPr/>
      </w:pPr>
      <w:r w:rsidDel="00000000" w:rsidR="00000000" w:rsidRPr="00000000">
        <w:rPr>
          <w:rtl w:val="0"/>
        </w:rPr>
      </w:r>
    </w:p>
    <w:p w:rsidR="00000000" w:rsidDel="00000000" w:rsidP="00000000" w:rsidRDefault="00000000" w:rsidRPr="00000000" w14:paraId="00000036">
      <w:pPr>
        <w:ind w:left="-426" w:firstLine="0"/>
        <w:rPr/>
      </w:pPr>
      <w:r w:rsidDel="00000000" w:rsidR="00000000" w:rsidRPr="00000000">
        <w:rPr>
          <w:rtl w:val="0"/>
        </w:rPr>
      </w:r>
    </w:p>
    <w:p w:rsidR="00000000" w:rsidDel="00000000" w:rsidP="00000000" w:rsidRDefault="00000000" w:rsidRPr="00000000" w14:paraId="00000037">
      <w:pPr>
        <w:ind w:left="-426" w:firstLine="0"/>
        <w:rPr/>
      </w:pPr>
      <w:r w:rsidDel="00000000" w:rsidR="00000000" w:rsidRPr="00000000">
        <w:rPr>
          <w:rtl w:val="0"/>
        </w:rPr>
      </w:r>
    </w:p>
    <w:p w:rsidR="00000000" w:rsidDel="00000000" w:rsidP="00000000" w:rsidRDefault="00000000" w:rsidRPr="00000000" w14:paraId="00000038">
      <w:pPr>
        <w:ind w:left="-426" w:firstLine="0"/>
        <w:rPr/>
      </w:pPr>
      <w:r w:rsidDel="00000000" w:rsidR="00000000" w:rsidRPr="00000000">
        <w:rPr>
          <w:rtl w:val="0"/>
        </w:rPr>
      </w:r>
    </w:p>
    <w:p w:rsidR="00000000" w:rsidDel="00000000" w:rsidP="00000000" w:rsidRDefault="00000000" w:rsidRPr="00000000" w14:paraId="00000039">
      <w:pPr>
        <w:ind w:left="-426" w:firstLine="0"/>
        <w:rPr/>
      </w:pPr>
      <w:r w:rsidDel="00000000" w:rsidR="00000000" w:rsidRPr="00000000">
        <w:rPr>
          <w:rtl w:val="0"/>
        </w:rPr>
      </w:r>
    </w:p>
    <w:p w:rsidR="00000000" w:rsidDel="00000000" w:rsidP="00000000" w:rsidRDefault="00000000" w:rsidRPr="00000000" w14:paraId="0000003A">
      <w:pPr>
        <w:ind w:left="-426" w:firstLine="0"/>
        <w:rPr/>
      </w:pPr>
      <w:r w:rsidDel="00000000" w:rsidR="00000000" w:rsidRPr="00000000">
        <w:rPr>
          <w:rtl w:val="0"/>
        </w:rPr>
      </w:r>
    </w:p>
    <w:p w:rsidR="00000000" w:rsidDel="00000000" w:rsidP="00000000" w:rsidRDefault="00000000" w:rsidRPr="00000000" w14:paraId="0000003B">
      <w:pPr>
        <w:ind w:left="-426" w:firstLine="0"/>
        <w:rPr/>
      </w:pPr>
      <w:r w:rsidDel="00000000" w:rsidR="00000000" w:rsidRPr="00000000">
        <w:rPr>
          <w:rtl w:val="0"/>
        </w:rPr>
      </w:r>
    </w:p>
    <w:p w:rsidR="00000000" w:rsidDel="00000000" w:rsidP="00000000" w:rsidRDefault="00000000" w:rsidRPr="00000000" w14:paraId="0000003C">
      <w:pPr>
        <w:ind w:left="-426" w:firstLine="0"/>
        <w:rPr>
          <w:highlight w:val="white"/>
        </w:rPr>
      </w:pPr>
      <w:r w:rsidDel="00000000" w:rsidR="00000000" w:rsidRPr="00000000">
        <w:rPr>
          <w:rtl w:val="0"/>
        </w:rPr>
      </w:r>
    </w:p>
    <w:p w:rsidR="00000000" w:rsidDel="00000000" w:rsidP="00000000" w:rsidRDefault="00000000" w:rsidRPr="00000000" w14:paraId="0000003D">
      <w:pPr>
        <w:ind w:left="-426" w:firstLine="0"/>
        <w:rPr/>
        <w:sectPr>
          <w:type w:val="continuous"/>
          <w:pgSz w:h="16838" w:w="11906" w:orient="portrait"/>
          <w:pgMar w:bottom="568" w:top="851" w:left="1417" w:right="1417" w:header="708" w:footer="708"/>
          <w:cols w:equalWidth="0" w:num="2">
            <w:col w:space="2517.4500000000003" w:w="3277.274999999999"/>
            <w:col w:space="0" w:w="3277.274999999999"/>
          </w:cols>
        </w:sectPr>
      </w:pPr>
      <w:r w:rsidDel="00000000" w:rsidR="00000000" w:rsidRPr="00000000">
        <w:rPr>
          <w:rtl w:val="0"/>
        </w:rPr>
      </w:r>
    </w:p>
    <w:p w:rsidR="00000000" w:rsidDel="00000000" w:rsidP="00000000" w:rsidRDefault="00000000" w:rsidRPr="00000000" w14:paraId="0000003E">
      <w:pPr>
        <w:ind w:left="-426" w:firstLine="0"/>
        <w:rPr/>
      </w:pPr>
      <w:r w:rsidDel="00000000" w:rsidR="00000000" w:rsidRPr="00000000">
        <w:rPr>
          <w:rtl w:val="0"/>
        </w:rPr>
      </w:r>
    </w:p>
    <w:sectPr>
      <w:type w:val="continuous"/>
      <w:pgSz w:h="16838" w:w="11906" w:orient="portrait"/>
      <w:pgMar w:bottom="568" w:top="851" w:left="1417" w:right="1417" w:header="708" w:footer="708"/>
      <w:cols w:equalWidth="0" w:num="2">
        <w:col w:space="708" w:w="4181.999999999999"/>
        <w:col w:space="0" w:w="4181.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uppressAutoHyphens w:val="1"/>
      <w:spacing w:after="0" w:line="240" w:lineRule="auto"/>
    </w:pPr>
    <w:rPr>
      <w:rFonts w:ascii="Times New Roman" w:eastAsia="SimSun" w:hAnsi="Times New Roman"/>
      <w:sz w:val="24"/>
      <w:szCs w:val="24"/>
      <w:lang w:eastAsia="zh-CN"/>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ListeParagraf">
    <w:name w:val="List Paragraph"/>
    <w:basedOn w:val="Normal"/>
    <w:pPr>
      <w:ind w:left="720"/>
      <w:contextualSpacing w:val="1"/>
    </w:pPr>
  </w:style>
  <w:style w:type="character" w:styleId="Kpr">
    <w:name w:val="Hyperlink"/>
    <w:basedOn w:val="VarsaylanParagrafYazTipi"/>
    <w:uiPriority w:val="99"/>
    <w:unhideWhenUsed w:val="1"/>
    <w:rsid w:val="002826DF"/>
    <w:rPr>
      <w:color w:val="0563c1" w:themeColor="hyperlink"/>
      <w:u w:val="single"/>
    </w:rPr>
  </w:style>
  <w:style w:type="character" w:styleId="zmlenmeyenBahsetme">
    <w:name w:val="Unresolved Mention"/>
    <w:basedOn w:val="VarsaylanParagrafYazTipi"/>
    <w:uiPriority w:val="99"/>
    <w:semiHidden w:val="1"/>
    <w:unhideWhenUsed w:val="1"/>
    <w:rsid w:val="002826DF"/>
    <w:rPr>
      <w:color w:val="605e5c"/>
      <w:shd w:color="auto" w:fill="e1dfdd" w:val="clear"/>
    </w:rPr>
  </w:style>
  <w:style w:type="character" w:styleId="zlenenKpr">
    <w:name w:val="FollowedHyperlink"/>
    <w:basedOn w:val="VarsaylanParagrafYazTipi"/>
    <w:uiPriority w:val="99"/>
    <w:semiHidden w:val="1"/>
    <w:unhideWhenUsed w:val="1"/>
    <w:rsid w:val="009275BA"/>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qjUEwv0R9I6BFvQCeszHQAv6dg==">AMUW2mWPVzJCAGJxEwOi+VxIisv4ZUuDpbmfC69DXcWJ3ZgshU8zJ8yVEjZodVPZizc7+P3FYQsqir5zQgSWAFyqzx9hf80rbhErb6f9fRLyX6zXH6q4W6w=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2023-08-28T19:34:00Z</dcterms:created>
  <dc:creator>Tuba Melekoğlu</dc:creator>
</cp:coreProperties>
</file>