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657"/>
      </w:tblGrid>
      <w:tr w:rsidR="00104AE2" w:rsidRPr="00B70512" w14:paraId="4B1ED5E3" w14:textId="77777777" w:rsidTr="00104AE2">
        <w:tc>
          <w:tcPr>
            <w:tcW w:w="9212" w:type="dxa"/>
            <w:gridSpan w:val="2"/>
          </w:tcPr>
          <w:p w14:paraId="3FCECE2B" w14:textId="77777777" w:rsidR="00104AE2" w:rsidRPr="006960F4" w:rsidRDefault="00104AE2" w:rsidP="00B705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7BC8117F" w14:textId="6EB2E791" w:rsidR="00104AE2" w:rsidRPr="006960F4" w:rsidRDefault="00B62CFB" w:rsidP="00B705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1C7273B8" wp14:editId="2B7FC719">
                  <wp:simplePos x="2657475" y="876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3585" cy="74993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4AE2" w:rsidRPr="0069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AKDENİZ ÜNİVERSİTESİ</w:t>
            </w:r>
          </w:p>
          <w:p w14:paraId="45543916" w14:textId="77777777" w:rsidR="00104AE2" w:rsidRPr="00B70512" w:rsidRDefault="00104AE2" w:rsidP="00B7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GÜZEL SANATLAR ENSTİTÜSÜ</w:t>
            </w:r>
          </w:p>
        </w:tc>
      </w:tr>
      <w:tr w:rsidR="00B62CFB" w:rsidRPr="00186A34" w14:paraId="4CE2730D" w14:textId="77777777" w:rsidTr="00363B36">
        <w:tc>
          <w:tcPr>
            <w:tcW w:w="1555" w:type="dxa"/>
            <w:tcBorders>
              <w:right w:val="single" w:sz="4" w:space="0" w:color="auto"/>
            </w:tcBorders>
          </w:tcPr>
          <w:p w14:paraId="3959C716" w14:textId="77777777" w:rsidR="00B62CFB" w:rsidRPr="00186A34" w:rsidRDefault="00B62CFB" w:rsidP="00363B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SNV 300</w:t>
            </w:r>
          </w:p>
        </w:tc>
        <w:tc>
          <w:tcPr>
            <w:tcW w:w="7657" w:type="dxa"/>
            <w:tcBorders>
              <w:left w:val="single" w:sz="4" w:space="0" w:color="auto"/>
            </w:tcBorders>
          </w:tcPr>
          <w:p w14:paraId="443777BA" w14:textId="7F7A6226" w:rsidR="00B62CFB" w:rsidRDefault="00B62CFB" w:rsidP="00363B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C5682">
              <w:rPr>
                <w:rFonts w:ascii="Times New Roman" w:hAnsi="Times New Roman" w:cs="Times New Roman"/>
                <w:b/>
                <w:color w:val="FF0000"/>
              </w:rPr>
              <w:t xml:space="preserve">MÜZİK ANASANAT DALI </w:t>
            </w:r>
            <w:r w:rsidRPr="00186A34">
              <w:rPr>
                <w:rFonts w:ascii="Times New Roman" w:hAnsi="Times New Roman" w:cs="Times New Roman"/>
                <w:b/>
                <w:color w:val="FF0000"/>
              </w:rPr>
              <w:t>Y</w:t>
            </w:r>
            <w:r w:rsidR="002C5682">
              <w:rPr>
                <w:rFonts w:ascii="Times New Roman" w:hAnsi="Times New Roman" w:cs="Times New Roman"/>
                <w:b/>
                <w:color w:val="FF0000"/>
              </w:rPr>
              <w:t xml:space="preserve">.L. </w:t>
            </w:r>
            <w:r>
              <w:rPr>
                <w:rFonts w:ascii="Times New Roman" w:hAnsi="Times New Roman" w:cs="Times New Roman"/>
                <w:b/>
                <w:color w:val="FF0000"/>
              </w:rPr>
              <w:t>BİRİNCİ AŞAMA SINAVI</w:t>
            </w:r>
          </w:p>
          <w:p w14:paraId="1EF8E128" w14:textId="77777777" w:rsidR="00B62CFB" w:rsidRPr="00186A34" w:rsidRDefault="00B62CFB" w:rsidP="00363B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JÜRİ TOPLANTI TUTANAĞI </w:t>
            </w:r>
          </w:p>
        </w:tc>
      </w:tr>
    </w:tbl>
    <w:p w14:paraId="68A03C73" w14:textId="77777777" w:rsidR="00104AE2" w:rsidRPr="00B70512" w:rsidRDefault="00104AE2" w:rsidP="00B7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04AE2" w:rsidRPr="00B70512" w14:paraId="483F3D0E" w14:textId="77777777" w:rsidTr="00104AE2">
        <w:tc>
          <w:tcPr>
            <w:tcW w:w="2660" w:type="dxa"/>
          </w:tcPr>
          <w:p w14:paraId="663C031B" w14:textId="77777777" w:rsidR="00104AE2" w:rsidRPr="00B70512" w:rsidRDefault="00104AE2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Dalı ve Alanı</w:t>
            </w:r>
          </w:p>
        </w:tc>
        <w:tc>
          <w:tcPr>
            <w:tcW w:w="6552" w:type="dxa"/>
          </w:tcPr>
          <w:p w14:paraId="27502243" w14:textId="77777777" w:rsidR="00104AE2" w:rsidRPr="00B70512" w:rsidRDefault="00104AE2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E2" w:rsidRPr="00B70512" w14:paraId="5E6EAF75" w14:textId="77777777" w:rsidTr="00104AE2">
        <w:tc>
          <w:tcPr>
            <w:tcW w:w="2660" w:type="dxa"/>
          </w:tcPr>
          <w:p w14:paraId="3D161E53" w14:textId="77777777" w:rsidR="00104AE2" w:rsidRPr="00B70512" w:rsidRDefault="00104AE2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6552" w:type="dxa"/>
          </w:tcPr>
          <w:p w14:paraId="149620A2" w14:textId="77777777" w:rsidR="00104AE2" w:rsidRPr="00B70512" w:rsidRDefault="00104AE2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E2" w:rsidRPr="00B70512" w14:paraId="5C34386B" w14:textId="77777777" w:rsidTr="00104AE2">
        <w:tc>
          <w:tcPr>
            <w:tcW w:w="2660" w:type="dxa"/>
          </w:tcPr>
          <w:p w14:paraId="574DF5B7" w14:textId="77777777" w:rsidR="00104AE2" w:rsidRPr="00B70512" w:rsidRDefault="00104AE2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  <w:tc>
          <w:tcPr>
            <w:tcW w:w="6552" w:type="dxa"/>
          </w:tcPr>
          <w:p w14:paraId="64D861FE" w14:textId="77777777" w:rsidR="00104AE2" w:rsidRPr="00B70512" w:rsidRDefault="00104AE2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55755" w14:textId="77777777" w:rsidR="00104AE2" w:rsidRPr="00B70512" w:rsidRDefault="00104AE2" w:rsidP="00B7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5424" w:rsidRPr="00B70512" w14:paraId="6963DFB5" w14:textId="77777777" w:rsidTr="00BE5424">
        <w:tc>
          <w:tcPr>
            <w:tcW w:w="9212" w:type="dxa"/>
          </w:tcPr>
          <w:p w14:paraId="7CD43862" w14:textId="77777777" w:rsidR="00BE5424" w:rsidRPr="00B70512" w:rsidRDefault="00BE5424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40601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Sınav Jürisi saat … de  Konservatuar  binasında toplanarak,  saat ….  yapılacak olan sınavın aşağıda belirtilen şekilde olmasını belirlemiştir;</w:t>
            </w:r>
          </w:p>
          <w:p w14:paraId="07E73EB1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CB62F" w14:textId="77777777" w:rsidR="00BE5424" w:rsidRPr="00B70512" w:rsidRDefault="00BE5424" w:rsidP="00B7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Müzik Ana Sanat Dalı eğitiminin niteliği gereğince </w:t>
            </w:r>
            <w:r w:rsidRPr="00B70512">
              <w:rPr>
                <w:rFonts w:ascii="Times New Roman" w:hAnsi="Times New Roman" w:cs="Times New Roman"/>
                <w:b/>
                <w:sz w:val="20"/>
                <w:szCs w:val="20"/>
              </w:rPr>
              <w:t>birinci aşama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sınavının tek basamaklı olarak canlı performans/eser ve çalışmaların sunumu şeklinde yapılmasına ve bu sınavda:</w:t>
            </w:r>
          </w:p>
          <w:p w14:paraId="78C61784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1191D" w14:textId="77777777" w:rsidR="00BE5424" w:rsidRPr="00B70512" w:rsidRDefault="00BE5424" w:rsidP="00B7051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Çalgı Performansından ve Türk Halk Müziği</w:t>
            </w:r>
            <w:r w:rsidRPr="00B70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alanından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girecek öğrencinin daha önceden ilan edilen eser listelerindeki her kategoriden en az 1 adedini seslendirmesine,</w:t>
            </w:r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 Teknik Yeterlilik 40 puan, </w:t>
            </w:r>
            <w:r w:rsidR="00B70512" w:rsidRPr="00B70512">
              <w:rPr>
                <w:rFonts w:ascii="Times New Roman" w:hAnsi="Times New Roman" w:cs="Times New Roman"/>
                <w:sz w:val="20"/>
                <w:szCs w:val="20"/>
              </w:rPr>
              <w:t>Müzikalite 20</w:t>
            </w:r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>Entonasyon</w:t>
            </w:r>
            <w:proofErr w:type="spellEnd"/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20, Ton puanın 20 olarak değerlendirilmesine,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bu basamağın not bareminin % 50 olmasına;</w:t>
            </w:r>
          </w:p>
          <w:p w14:paraId="0DAD589C" w14:textId="77777777" w:rsidR="00BE70C8" w:rsidRPr="00B70512" w:rsidRDefault="00BE5424" w:rsidP="00B7051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5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Bestecilik alanından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girecek öğrencilerin en az üç (3) özgün eserini kayıttan çalmasına ya  da seslendirmesine,</w:t>
            </w:r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seslendirilen her bir eserin 25’er puan ve </w:t>
            </w:r>
            <w:proofErr w:type="spellStart"/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>Tonal</w:t>
            </w:r>
            <w:proofErr w:type="spellEnd"/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Armoni 25 puan üzerinden değerlendirilmesine, bu basamağın not bareminin % 50 olmasına;</w:t>
            </w:r>
          </w:p>
          <w:p w14:paraId="4E2D21CD" w14:textId="77777777" w:rsidR="00BE5424" w:rsidRPr="00B70512" w:rsidRDefault="00BE5424" w:rsidP="00B7051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5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Müzik Teknolojilerinden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girecek öğrencinin alanda ürettiği çalışmaları sunmasına ve dinletmesine</w:t>
            </w:r>
            <w:r w:rsidR="00B70512" w:rsidRPr="00B70512">
              <w:rPr>
                <w:rFonts w:ascii="Times New Roman" w:hAnsi="Times New Roman" w:cs="Times New Roman"/>
                <w:sz w:val="20"/>
                <w:szCs w:val="20"/>
              </w:rPr>
              <w:t>, Donanım Bilgisi 25 puan, Yazılım Bilgisi 25 puan, Müzikal Birikim 25 puan, Programa U</w:t>
            </w:r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ygunluk 25 puan üzerinden değerlendirilmesine 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ve bu basamağın not bareminin % 50 olmasına;</w:t>
            </w:r>
          </w:p>
          <w:p w14:paraId="34769A1A" w14:textId="77777777" w:rsidR="00BE5424" w:rsidRPr="00B70512" w:rsidRDefault="00BE5424" w:rsidP="00B705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Türk Halk Müziği</w:t>
            </w:r>
            <w:r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alanından sınava girecek adayların 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çalgı alanlarına göre (</w:t>
            </w:r>
            <w:r w:rsidRPr="00B70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Bağlama ve Kaval performansı) 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değerlendirilmesine</w:t>
            </w:r>
            <w:r w:rsidR="00B70512" w:rsidRPr="00B70512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>eknik</w:t>
            </w:r>
            <w:r w:rsidR="00B70512"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BE70C8" w:rsidRPr="00B70512">
              <w:rPr>
                <w:rFonts w:ascii="Times New Roman" w:hAnsi="Times New Roman" w:cs="Times New Roman"/>
                <w:sz w:val="20"/>
                <w:szCs w:val="20"/>
              </w:rPr>
              <w:t>eterlilik 30 puan,  Müzikalite 20 puan,  Çalgıya Yönelik Yöresel İcra,  Programın Uygunluğu 10 puan üzerinden değerlendirilmesine</w:t>
            </w: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ve bu basamağın not bareminin %50 olmasına</w:t>
            </w:r>
          </w:p>
          <w:p w14:paraId="4502AF1D" w14:textId="77777777" w:rsidR="00BE5424" w:rsidRPr="00B70512" w:rsidRDefault="00BE5424" w:rsidP="00B705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304B2F2" w14:textId="57DFE3E9" w:rsidR="00BE5424" w:rsidRPr="00B70512" w:rsidRDefault="00BE5424" w:rsidP="00B7051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62CFB"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Performans</w:t>
            </w:r>
            <w:r w:rsidR="00BE70C8"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içeriğinin</w:t>
            </w:r>
            <w:r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581F10"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Ek.2.’</w:t>
            </w:r>
            <w:r w:rsidR="00B70512"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 belirtilen</w:t>
            </w:r>
            <w:r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şekilde olm</w:t>
            </w:r>
            <w:r w:rsidR="00581F10"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B705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sına,</w:t>
            </w:r>
          </w:p>
          <w:p w14:paraId="3651A55D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1A425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Öğrencinin performansının hangi kriterlere göre değerlendirileceğini içeren değerlendirme kılavuzunun sınav öncesinde jüri tarafından imza/paraf altına alınmasına,</w:t>
            </w:r>
          </w:p>
          <w:p w14:paraId="72430498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41D74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Sınav sürelerinin her aday için en az 20 dakika (icra edilecek parçaların uzunlukları, özgün bestelerin sunumu vb. değişken olabilir) olmasına,</w:t>
            </w:r>
          </w:p>
          <w:p w14:paraId="6EBAA3B5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75C48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Sunulan eserlerin her üye tarafından ayrı ayrı </w:t>
            </w:r>
            <w:proofErr w:type="spellStart"/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notlandırmasına</w:t>
            </w:r>
            <w:proofErr w:type="spellEnd"/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, yapılan </w:t>
            </w:r>
            <w:proofErr w:type="spellStart"/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notlandırmanın</w:t>
            </w:r>
            <w:proofErr w:type="spellEnd"/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 değerlendirme tablosuna işlenmesine,</w:t>
            </w:r>
          </w:p>
          <w:p w14:paraId="460BDDA5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2D237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Yapılan notlandırmaların genel bir tablo içine alınarak “aritmetik ortalama” ile sonucun belirlenmesine ve bu sonucun jüri tarafından imza altına alınarak kesinleştirilmesine;</w:t>
            </w:r>
          </w:p>
          <w:p w14:paraId="2E876890" w14:textId="77777777" w:rsidR="00BE5424" w:rsidRPr="00B70512" w:rsidRDefault="00BE5424" w:rsidP="00B7051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33B53" w14:textId="77777777" w:rsidR="00BE5424" w:rsidRPr="00B70512" w:rsidRDefault="00BE5424" w:rsidP="00B7051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OYBİRLİĞİ/OYÇOKLUĞU ile karar vermiştir</w:t>
            </w:r>
          </w:p>
          <w:p w14:paraId="2BC79EEB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866F4" w14:textId="77777777" w:rsidR="00BE5424" w:rsidRPr="00B70512" w:rsidRDefault="00BE5424" w:rsidP="00B705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  <w:p w14:paraId="3D02605A" w14:textId="77777777" w:rsidR="00BE5424" w:rsidRPr="00B70512" w:rsidRDefault="00BE5424" w:rsidP="00B705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>Jüri Başkanı</w:t>
            </w:r>
          </w:p>
          <w:p w14:paraId="1F374200" w14:textId="77777777" w:rsidR="00BE5424" w:rsidRPr="00B70512" w:rsidRDefault="00BE5424" w:rsidP="00B705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BC3A8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DCCB6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3434C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………………..                          ……………………..                          ………………………    </w:t>
            </w:r>
          </w:p>
          <w:p w14:paraId="3719AB01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4708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3BF65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25617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1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………………..                          ……………………..                          ………………………  </w:t>
            </w:r>
          </w:p>
          <w:p w14:paraId="57AD865F" w14:textId="77777777" w:rsidR="00BE5424" w:rsidRPr="00B70512" w:rsidRDefault="00BE5424" w:rsidP="00B70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8D86F" w14:textId="77777777" w:rsidR="00BE5424" w:rsidRPr="00B70512" w:rsidRDefault="00BE5424" w:rsidP="00B7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8A043D" w14:textId="77777777" w:rsidR="00BE5424" w:rsidRPr="00B70512" w:rsidRDefault="00BE5424" w:rsidP="00B70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5424" w:rsidRPr="00B70512" w:rsidSect="00BE54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2B18FB"/>
    <w:multiLevelType w:val="hybridMultilevel"/>
    <w:tmpl w:val="DFB854F4"/>
    <w:lvl w:ilvl="0" w:tplc="7B340F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E2"/>
    <w:rsid w:val="000B05AD"/>
    <w:rsid w:val="000F311A"/>
    <w:rsid w:val="00104AE2"/>
    <w:rsid w:val="00186A34"/>
    <w:rsid w:val="002C5682"/>
    <w:rsid w:val="00581F10"/>
    <w:rsid w:val="006960F4"/>
    <w:rsid w:val="007116D4"/>
    <w:rsid w:val="00885024"/>
    <w:rsid w:val="009A62DA"/>
    <w:rsid w:val="00B62CFB"/>
    <w:rsid w:val="00B70512"/>
    <w:rsid w:val="00BE5424"/>
    <w:rsid w:val="00B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911"/>
  <w15:docId w15:val="{36A1D69C-544C-49F3-BF2F-31CC0F8F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E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1A3E-2E25-4466-8B09-99A38DA9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8</cp:revision>
  <dcterms:created xsi:type="dcterms:W3CDTF">2021-04-22T21:23:00Z</dcterms:created>
  <dcterms:modified xsi:type="dcterms:W3CDTF">2021-07-11T15:25:00Z</dcterms:modified>
</cp:coreProperties>
</file>